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19C5" w:rsidRDefault="008F5894">
      <w:pPr>
        <w:pStyle w:val="Normal1"/>
        <w:spacing w:after="0"/>
        <w:jc w:val="center"/>
        <w:rPr>
          <w:b/>
          <w:bCs/>
          <w:sz w:val="14"/>
          <w:szCs w:val="14"/>
        </w:rPr>
      </w:pPr>
      <w:r>
        <w:rPr>
          <w:b/>
          <w:bCs/>
          <w:sz w:val="14"/>
          <w:szCs w:val="14"/>
        </w:rPr>
        <w:t xml:space="preserve"> </w:t>
      </w:r>
    </w:p>
    <w:p w:rsidR="002619C5" w:rsidRDefault="008F5894">
      <w:pPr>
        <w:pStyle w:val="Normal1"/>
        <w:spacing w:after="0"/>
        <w:jc w:val="center"/>
        <w:rPr>
          <w:b/>
          <w:bCs/>
          <w:sz w:val="40"/>
          <w:szCs w:val="40"/>
        </w:rPr>
      </w:pPr>
      <w:r>
        <w:rPr>
          <w:b/>
          <w:bCs/>
          <w:sz w:val="40"/>
          <w:szCs w:val="40"/>
        </w:rPr>
        <w:t>SEMINARIO 2026</w:t>
      </w:r>
    </w:p>
    <w:p w:rsidR="002619C5" w:rsidRDefault="002619C5">
      <w:pPr>
        <w:pStyle w:val="Normal1"/>
        <w:spacing w:after="0"/>
        <w:jc w:val="center"/>
        <w:rPr>
          <w:b/>
          <w:bCs/>
          <w:sz w:val="26"/>
          <w:szCs w:val="26"/>
        </w:rPr>
      </w:pPr>
    </w:p>
    <w:tbl>
      <w:tblPr>
        <w:tblStyle w:val="a"/>
        <w:tblW w:w="9029"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2619C5">
        <w:trPr>
          <w:cantSplit/>
          <w:tblHeader/>
          <w:jc w:val="center"/>
        </w:trPr>
        <w:tc>
          <w:tcPr>
            <w:tcW w:w="9029" w:type="dxa"/>
            <w:tcBorders>
              <w:bottom w:val="single" w:sz="8" w:space="0" w:color="FFFFFF"/>
            </w:tcBorders>
            <w:shd w:val="clear" w:color="auto" w:fill="auto"/>
            <w:tcMar>
              <w:top w:w="100" w:type="dxa"/>
              <w:left w:w="100" w:type="dxa"/>
              <w:bottom w:w="100" w:type="dxa"/>
              <w:right w:w="100" w:type="dxa"/>
            </w:tcMar>
          </w:tcPr>
          <w:p w:rsidR="002619C5" w:rsidRDefault="008F5894">
            <w:pPr>
              <w:pStyle w:val="Normal1"/>
              <w:widowControl w:val="0"/>
              <w:pBdr>
                <w:top w:val="nil"/>
                <w:left w:val="nil"/>
                <w:bottom w:val="nil"/>
                <w:right w:val="nil"/>
                <w:between w:val="nil"/>
              </w:pBdr>
              <w:spacing w:after="0" w:line="240" w:lineRule="auto"/>
              <w:jc w:val="center"/>
              <w:rPr>
                <w:b/>
                <w:bCs/>
              </w:rPr>
            </w:pPr>
            <w:r>
              <w:rPr>
                <w:b/>
                <w:bCs/>
                <w:sz w:val="38"/>
                <w:szCs w:val="38"/>
              </w:rPr>
              <w:t>Tema: Desarrollo de un nuevo producto cárnico</w:t>
            </w:r>
          </w:p>
        </w:tc>
      </w:tr>
      <w:tr w:rsidR="002619C5">
        <w:trPr>
          <w:cantSplit/>
          <w:tblHeader/>
          <w:jc w:val="center"/>
        </w:trPr>
        <w:tc>
          <w:tcPr>
            <w:tcW w:w="9029" w:type="dxa"/>
            <w:tcBorders>
              <w:top w:val="single" w:sz="8" w:space="0" w:color="FFFFFF"/>
            </w:tcBorders>
            <w:shd w:val="clear" w:color="auto" w:fill="auto"/>
            <w:tcMar>
              <w:top w:w="100" w:type="dxa"/>
              <w:left w:w="100" w:type="dxa"/>
              <w:bottom w:w="100" w:type="dxa"/>
              <w:right w:w="100" w:type="dxa"/>
            </w:tcMar>
          </w:tcPr>
          <w:p w:rsidR="002619C5" w:rsidRDefault="008F5894">
            <w:pPr>
              <w:pStyle w:val="Ttulo"/>
              <w:jc w:val="center"/>
              <w:rPr>
                <w:b/>
                <w:bCs/>
              </w:rPr>
            </w:pPr>
            <w:bookmarkStart w:id="0" w:name="_cin5aah7n54i" w:colFirst="0" w:colLast="0"/>
            <w:bookmarkEnd w:id="0"/>
            <w:r>
              <w:rPr>
                <w:b/>
                <w:bCs/>
              </w:rPr>
              <w:t xml:space="preserve">Emulsión cárnica de jabalí tipo mortadela </w:t>
            </w:r>
          </w:p>
        </w:tc>
      </w:tr>
    </w:tbl>
    <w:p w:rsidR="002619C5" w:rsidRDefault="002619C5">
      <w:pPr>
        <w:pStyle w:val="Normal1"/>
        <w:jc w:val="left"/>
        <w:rPr>
          <w:sz w:val="14"/>
          <w:szCs w:val="14"/>
        </w:rPr>
      </w:pPr>
    </w:p>
    <w:p w:rsidR="002619C5" w:rsidRDefault="002619C5">
      <w:pPr>
        <w:pStyle w:val="Normal1"/>
        <w:spacing w:after="0"/>
        <w:rPr>
          <w:b/>
          <w:bCs/>
          <w:sz w:val="30"/>
          <w:szCs w:val="30"/>
        </w:rPr>
      </w:pPr>
    </w:p>
    <w:p w:rsidR="002619C5" w:rsidRDefault="002619C5">
      <w:pPr>
        <w:pStyle w:val="Normal1"/>
        <w:spacing w:after="0"/>
        <w:rPr>
          <w:b/>
          <w:bCs/>
          <w:sz w:val="30"/>
          <w:szCs w:val="30"/>
        </w:rPr>
      </w:pPr>
    </w:p>
    <w:p w:rsidR="002619C5" w:rsidRDefault="008F5894">
      <w:pPr>
        <w:pStyle w:val="Normal1"/>
        <w:rPr>
          <w:b/>
          <w:bCs/>
          <w:sz w:val="30"/>
          <w:szCs w:val="30"/>
        </w:rPr>
      </w:pPr>
      <w:r>
        <w:rPr>
          <w:b/>
          <w:bCs/>
          <w:sz w:val="30"/>
          <w:szCs w:val="30"/>
        </w:rPr>
        <w:t>AUTORES</w:t>
      </w:r>
    </w:p>
    <w:p w:rsidR="002619C5" w:rsidRDefault="008F5894">
      <w:pPr>
        <w:pStyle w:val="Normal1"/>
        <w:rPr>
          <w:b/>
          <w:bCs/>
          <w:sz w:val="30"/>
          <w:szCs w:val="30"/>
        </w:rPr>
      </w:pPr>
      <w:r>
        <w:rPr>
          <w:b/>
          <w:bCs/>
          <w:sz w:val="30"/>
          <w:szCs w:val="30"/>
        </w:rPr>
        <w:t xml:space="preserve">Abigail </w:t>
      </w:r>
      <w:proofErr w:type="spellStart"/>
      <w:r>
        <w:rPr>
          <w:b/>
          <w:bCs/>
          <w:sz w:val="30"/>
          <w:szCs w:val="30"/>
        </w:rPr>
        <w:t>Azambuya</w:t>
      </w:r>
      <w:proofErr w:type="spellEnd"/>
    </w:p>
    <w:p w:rsidR="002619C5" w:rsidRDefault="008F5894">
      <w:pPr>
        <w:pStyle w:val="Normal1"/>
        <w:rPr>
          <w:b/>
          <w:bCs/>
          <w:sz w:val="30"/>
          <w:szCs w:val="30"/>
        </w:rPr>
      </w:pPr>
      <w:r>
        <w:rPr>
          <w:b/>
          <w:bCs/>
          <w:sz w:val="30"/>
          <w:szCs w:val="30"/>
        </w:rPr>
        <w:t xml:space="preserve">Lucía </w:t>
      </w:r>
      <w:proofErr w:type="spellStart"/>
      <w:r>
        <w:rPr>
          <w:b/>
          <w:bCs/>
          <w:sz w:val="30"/>
          <w:szCs w:val="30"/>
        </w:rPr>
        <w:t>Botti</w:t>
      </w:r>
      <w:proofErr w:type="spellEnd"/>
    </w:p>
    <w:p w:rsidR="004C0ACD" w:rsidRDefault="004C0ACD">
      <w:pPr>
        <w:pStyle w:val="Normal1"/>
        <w:rPr>
          <w:b/>
          <w:bCs/>
          <w:sz w:val="30"/>
          <w:szCs w:val="30"/>
        </w:rPr>
      </w:pPr>
      <w:proofErr w:type="spellStart"/>
      <w:r>
        <w:rPr>
          <w:b/>
          <w:bCs/>
          <w:sz w:val="30"/>
          <w:szCs w:val="30"/>
        </w:rPr>
        <w:t>Monica</w:t>
      </w:r>
      <w:proofErr w:type="spellEnd"/>
      <w:r>
        <w:rPr>
          <w:b/>
          <w:bCs/>
          <w:sz w:val="30"/>
          <w:szCs w:val="30"/>
        </w:rPr>
        <w:t xml:space="preserve"> Villalba</w:t>
      </w:r>
    </w:p>
    <w:p w:rsidR="002619C5" w:rsidRDefault="002619C5">
      <w:pPr>
        <w:pStyle w:val="Normal1"/>
        <w:spacing w:after="0"/>
      </w:pPr>
    </w:p>
    <w:p w:rsidR="002619C5" w:rsidRDefault="002619C5">
      <w:pPr>
        <w:pStyle w:val="Normal1"/>
        <w:spacing w:after="0"/>
        <w:rPr>
          <w:sz w:val="20"/>
          <w:szCs w:val="20"/>
        </w:rPr>
      </w:pPr>
    </w:p>
    <w:p w:rsidR="002619C5" w:rsidRDefault="008F5894">
      <w:pPr>
        <w:pStyle w:val="Normal1"/>
        <w:rPr>
          <w:b/>
          <w:bCs/>
          <w:sz w:val="30"/>
          <w:szCs w:val="30"/>
        </w:rPr>
      </w:pPr>
      <w:r>
        <w:rPr>
          <w:b/>
          <w:bCs/>
          <w:sz w:val="30"/>
          <w:szCs w:val="30"/>
        </w:rPr>
        <w:t>Cátedra:</w:t>
      </w:r>
    </w:p>
    <w:p w:rsidR="002619C5" w:rsidRDefault="008F5894">
      <w:pPr>
        <w:pStyle w:val="Normal1"/>
        <w:rPr>
          <w:sz w:val="30"/>
          <w:szCs w:val="30"/>
        </w:rPr>
      </w:pPr>
      <w:r>
        <w:rPr>
          <w:b/>
          <w:bCs/>
          <w:sz w:val="30"/>
          <w:szCs w:val="30"/>
        </w:rPr>
        <w:t>PROCESOS INDUSTRIALES II</w:t>
      </w:r>
    </w:p>
    <w:p w:rsidR="002619C5" w:rsidRDefault="002619C5">
      <w:pPr>
        <w:pStyle w:val="Normal1"/>
        <w:rPr>
          <w:sz w:val="30"/>
          <w:szCs w:val="30"/>
        </w:rPr>
      </w:pPr>
    </w:p>
    <w:p w:rsidR="002619C5" w:rsidRDefault="002619C5">
      <w:pPr>
        <w:pStyle w:val="Normal1"/>
        <w:rPr>
          <w:sz w:val="30"/>
          <w:szCs w:val="30"/>
        </w:rPr>
      </w:pPr>
    </w:p>
    <w:p w:rsidR="002619C5" w:rsidRDefault="008F5894">
      <w:pPr>
        <w:pStyle w:val="Normal1"/>
        <w:jc w:val="right"/>
      </w:pPr>
      <w:r>
        <w:rPr>
          <w:b/>
          <w:bCs/>
          <w:sz w:val="30"/>
          <w:szCs w:val="30"/>
        </w:rPr>
        <w:t>Fecha: 28 de mayo de 2026</w:t>
      </w:r>
      <w:r>
        <w:t>.</w:t>
      </w:r>
    </w:p>
    <w:p w:rsidR="004C0ACD" w:rsidRDefault="004C0ACD">
      <w:pPr>
        <w:pStyle w:val="Normal1"/>
        <w:jc w:val="right"/>
      </w:pPr>
    </w:p>
    <w:sdt>
      <w:sdtPr>
        <w:id w:val="-40697062"/>
        <w:docPartObj>
          <w:docPartGallery w:val="Table of Contents"/>
          <w:docPartUnique/>
        </w:docPartObj>
      </w:sdtPr>
      <w:sdtEndPr/>
      <w:sdtContent>
        <w:p w:rsidR="002619C5" w:rsidRDefault="002619C5">
          <w:pPr>
            <w:pStyle w:val="Normal1"/>
            <w:widowControl w:val="0"/>
            <w:tabs>
              <w:tab w:val="right" w:leader="dot" w:pos="12000"/>
            </w:tabs>
            <w:spacing w:before="60" w:after="0" w:line="240" w:lineRule="auto"/>
            <w:jc w:val="left"/>
            <w:rPr>
              <w:rFonts w:ascii="Arial" w:eastAsia="Arial" w:hAnsi="Arial" w:cs="Arial"/>
              <w:b/>
              <w:bCs/>
              <w:color w:val="000000"/>
              <w:sz w:val="22"/>
              <w:szCs w:val="22"/>
            </w:rPr>
          </w:pPr>
          <w:r>
            <w:fldChar w:fldCharType="begin"/>
          </w:r>
          <w:r w:rsidR="008F5894">
            <w:instrText xml:space="preserve"> TOC \h \u \z \t "Heading 1,1,Heading 2,2,Heading 3,3,Heading 4,4,Heading 5,5,Heading 6,6,"</w:instrText>
          </w:r>
          <w:r>
            <w:fldChar w:fldCharType="separate"/>
          </w:r>
          <w:hyperlink w:anchor="_41x3d8qs2yf7">
            <w:r w:rsidR="008F5894">
              <w:rPr>
                <w:b/>
                <w:bCs/>
                <w:color w:val="000000"/>
              </w:rPr>
              <w:t>INTRODUCCIÓN</w:t>
            </w:r>
            <w:r w:rsidR="008F5894">
              <w:rPr>
                <w:b/>
                <w:bCs/>
                <w:color w:val="000000"/>
              </w:rPr>
              <w:tab/>
              <w:t>3</w:t>
            </w:r>
          </w:hyperlink>
        </w:p>
        <w:p w:rsidR="002619C5" w:rsidRDefault="002A6FAD">
          <w:pPr>
            <w:pStyle w:val="Normal1"/>
            <w:widowControl w:val="0"/>
            <w:tabs>
              <w:tab w:val="right" w:leader="dot" w:pos="12000"/>
            </w:tabs>
            <w:spacing w:before="60" w:after="0" w:line="240" w:lineRule="auto"/>
            <w:jc w:val="left"/>
            <w:rPr>
              <w:rFonts w:ascii="Arial" w:eastAsia="Arial" w:hAnsi="Arial" w:cs="Arial"/>
              <w:b/>
              <w:bCs/>
              <w:color w:val="000000"/>
              <w:sz w:val="22"/>
              <w:szCs w:val="22"/>
            </w:rPr>
          </w:pPr>
          <w:hyperlink w:anchor="_plgttl5y1xi">
            <w:r w:rsidR="008F5894">
              <w:rPr>
                <w:b/>
                <w:bCs/>
                <w:color w:val="000000"/>
                <w:sz w:val="22"/>
                <w:szCs w:val="22"/>
              </w:rPr>
              <w:t>REGLAMENTO VIGENTE</w:t>
            </w:r>
            <w:r w:rsidR="008F5894">
              <w:rPr>
                <w:b/>
                <w:bCs/>
                <w:color w:val="000000"/>
                <w:sz w:val="22"/>
                <w:szCs w:val="22"/>
              </w:rPr>
              <w:tab/>
              <w:t>4</w:t>
            </w:r>
          </w:hyperlink>
        </w:p>
        <w:p w:rsidR="002619C5" w:rsidRDefault="002A6FAD">
          <w:pPr>
            <w:pStyle w:val="Normal1"/>
            <w:widowControl w:val="0"/>
            <w:tabs>
              <w:tab w:val="right" w:leader="dot" w:pos="12000"/>
            </w:tabs>
            <w:spacing w:before="60" w:after="0" w:line="240" w:lineRule="auto"/>
            <w:jc w:val="left"/>
            <w:rPr>
              <w:rFonts w:ascii="Arial" w:eastAsia="Arial" w:hAnsi="Arial" w:cs="Arial"/>
              <w:b/>
              <w:bCs/>
              <w:color w:val="000000"/>
              <w:sz w:val="22"/>
              <w:szCs w:val="22"/>
            </w:rPr>
          </w:pPr>
          <w:hyperlink w:anchor="_841bw5lr0vy6">
            <w:r w:rsidR="008F5894">
              <w:rPr>
                <w:b/>
                <w:bCs/>
                <w:color w:val="000000"/>
              </w:rPr>
              <w:t>ANÁLISIS DE CALIDAD DE LA MATERIA PRIMA</w:t>
            </w:r>
            <w:r w:rsidR="008F5894">
              <w:rPr>
                <w:b/>
                <w:bCs/>
                <w:color w:val="000000"/>
              </w:rPr>
              <w:tab/>
              <w:t>5</w:t>
            </w:r>
          </w:hyperlink>
        </w:p>
        <w:p w:rsidR="002619C5" w:rsidRDefault="002A6FAD">
          <w:pPr>
            <w:pStyle w:val="Normal1"/>
            <w:widowControl w:val="0"/>
            <w:tabs>
              <w:tab w:val="right" w:leader="dot" w:pos="12000"/>
            </w:tabs>
            <w:spacing w:before="60" w:after="0" w:line="240" w:lineRule="auto"/>
            <w:ind w:left="360"/>
            <w:jc w:val="left"/>
            <w:rPr>
              <w:rFonts w:ascii="Arial" w:eastAsia="Arial" w:hAnsi="Arial" w:cs="Arial"/>
              <w:color w:val="000000"/>
              <w:sz w:val="22"/>
              <w:szCs w:val="22"/>
            </w:rPr>
          </w:pPr>
          <w:hyperlink w:anchor="_h14ss81eh8k5">
            <w:r w:rsidR="008F5894">
              <w:rPr>
                <w:color w:val="000000"/>
              </w:rPr>
              <w:t>Composición nutricional</w:t>
            </w:r>
            <w:r w:rsidR="008F5894">
              <w:rPr>
                <w:color w:val="000000"/>
              </w:rPr>
              <w:tab/>
              <w:t>5</w:t>
            </w:r>
          </w:hyperlink>
        </w:p>
        <w:p w:rsidR="002619C5" w:rsidRDefault="002A6FAD">
          <w:pPr>
            <w:pStyle w:val="Normal1"/>
            <w:widowControl w:val="0"/>
            <w:tabs>
              <w:tab w:val="right" w:leader="dot" w:pos="12000"/>
            </w:tabs>
            <w:spacing w:before="60" w:after="0" w:line="240" w:lineRule="auto"/>
            <w:ind w:left="360"/>
            <w:jc w:val="left"/>
            <w:rPr>
              <w:rFonts w:ascii="Arial" w:eastAsia="Arial" w:hAnsi="Arial" w:cs="Arial"/>
              <w:color w:val="000000"/>
              <w:sz w:val="22"/>
              <w:szCs w:val="22"/>
            </w:rPr>
          </w:pPr>
          <w:hyperlink w:anchor="_1tg87n2v1as6">
            <w:r w:rsidR="008F5894">
              <w:rPr>
                <w:color w:val="000000"/>
              </w:rPr>
              <w:t>Características de la media res</w:t>
            </w:r>
            <w:r w:rsidR="008F5894">
              <w:rPr>
                <w:color w:val="000000"/>
              </w:rPr>
              <w:tab/>
              <w:t>8</w:t>
            </w:r>
          </w:hyperlink>
        </w:p>
        <w:p w:rsidR="002619C5" w:rsidRDefault="002A6FAD">
          <w:pPr>
            <w:pStyle w:val="Normal1"/>
            <w:widowControl w:val="0"/>
            <w:tabs>
              <w:tab w:val="right" w:leader="dot" w:pos="12000"/>
            </w:tabs>
            <w:spacing w:before="60" w:after="0" w:line="240" w:lineRule="auto"/>
            <w:ind w:left="360"/>
            <w:jc w:val="left"/>
            <w:rPr>
              <w:rFonts w:ascii="Arial" w:eastAsia="Arial" w:hAnsi="Arial" w:cs="Arial"/>
              <w:color w:val="000000"/>
              <w:sz w:val="22"/>
              <w:szCs w:val="22"/>
            </w:rPr>
          </w:pPr>
          <w:hyperlink w:anchor="_ty03mtr16oaq">
            <w:r w:rsidR="008F5894">
              <w:rPr>
                <w:color w:val="000000"/>
                <w:sz w:val="22"/>
                <w:szCs w:val="22"/>
              </w:rPr>
              <w:t xml:space="preserve">Características </w:t>
            </w:r>
          </w:hyperlink>
          <w:hyperlink w:anchor="_ty03mtr16oaq">
            <w:r w:rsidR="008F5894">
              <w:rPr>
                <w:sz w:val="22"/>
                <w:szCs w:val="22"/>
              </w:rPr>
              <w:t>fisicoquímicas</w:t>
            </w:r>
          </w:hyperlink>
          <w:hyperlink w:anchor="_ty03mtr16oaq">
            <w:r w:rsidR="008F5894">
              <w:rPr>
                <w:color w:val="000000"/>
                <w:sz w:val="22"/>
                <w:szCs w:val="22"/>
              </w:rPr>
              <w:t xml:space="preserve"> y factores de calidad industrial para la carne de jabalí.</w:t>
            </w:r>
            <w:r w:rsidR="008F5894">
              <w:rPr>
                <w:color w:val="000000"/>
                <w:sz w:val="22"/>
                <w:szCs w:val="22"/>
              </w:rPr>
              <w:tab/>
              <w:t>9</w:t>
            </w:r>
          </w:hyperlink>
        </w:p>
        <w:p w:rsidR="002619C5" w:rsidRDefault="002A6FAD">
          <w:pPr>
            <w:pStyle w:val="Normal1"/>
            <w:widowControl w:val="0"/>
            <w:tabs>
              <w:tab w:val="right" w:leader="dot" w:pos="12000"/>
            </w:tabs>
            <w:spacing w:before="60" w:after="0" w:line="240" w:lineRule="auto"/>
            <w:jc w:val="left"/>
            <w:rPr>
              <w:rFonts w:ascii="Arial" w:eastAsia="Arial" w:hAnsi="Arial" w:cs="Arial"/>
              <w:b/>
              <w:bCs/>
              <w:color w:val="000000"/>
              <w:sz w:val="22"/>
              <w:szCs w:val="22"/>
            </w:rPr>
          </w:pPr>
          <w:hyperlink w:anchor="_x1zgqs693hcd">
            <w:r w:rsidR="008F5894">
              <w:rPr>
                <w:b/>
                <w:bCs/>
                <w:color w:val="000000"/>
              </w:rPr>
              <w:t>DESARROLLO DEL PRODUCTO</w:t>
            </w:r>
            <w:r w:rsidR="008F5894">
              <w:rPr>
                <w:b/>
                <w:bCs/>
                <w:color w:val="000000"/>
              </w:rPr>
              <w:tab/>
              <w:t>10</w:t>
            </w:r>
          </w:hyperlink>
        </w:p>
        <w:p w:rsidR="002619C5" w:rsidRDefault="002A6FAD">
          <w:pPr>
            <w:pStyle w:val="Normal1"/>
            <w:widowControl w:val="0"/>
            <w:tabs>
              <w:tab w:val="right" w:leader="dot" w:pos="12000"/>
            </w:tabs>
            <w:spacing w:before="60" w:after="0" w:line="240" w:lineRule="auto"/>
            <w:ind w:left="360"/>
            <w:jc w:val="left"/>
            <w:rPr>
              <w:rFonts w:ascii="Arial" w:eastAsia="Arial" w:hAnsi="Arial" w:cs="Arial"/>
              <w:color w:val="000000"/>
              <w:sz w:val="22"/>
              <w:szCs w:val="22"/>
            </w:rPr>
          </w:pPr>
          <w:hyperlink w:anchor="_jedl96xfcc3d">
            <w:r w:rsidR="008F5894">
              <w:rPr>
                <w:color w:val="000000"/>
                <w:sz w:val="22"/>
                <w:szCs w:val="22"/>
              </w:rPr>
              <w:t>Hidrogel O/W con aceites de nuez pecán y chía.</w:t>
            </w:r>
          </w:hyperlink>
          <w:hyperlink w:anchor="_jedl96xfcc3d">
            <w:r w:rsidR="008F5894">
              <w:rPr>
                <w:rFonts w:ascii="Arial" w:eastAsia="Arial" w:hAnsi="Arial" w:cs="Arial"/>
                <w:color w:val="000000"/>
                <w:sz w:val="22"/>
                <w:szCs w:val="22"/>
              </w:rPr>
              <w:tab/>
              <w:t>10</w:t>
            </w:r>
          </w:hyperlink>
        </w:p>
        <w:p w:rsidR="002619C5" w:rsidRDefault="002A6FAD">
          <w:pPr>
            <w:pStyle w:val="Normal1"/>
            <w:widowControl w:val="0"/>
            <w:tabs>
              <w:tab w:val="right" w:leader="dot" w:pos="12000"/>
            </w:tabs>
            <w:spacing w:before="60" w:after="0" w:line="240" w:lineRule="auto"/>
            <w:ind w:left="360"/>
            <w:jc w:val="left"/>
            <w:rPr>
              <w:rFonts w:ascii="Arial" w:eastAsia="Arial" w:hAnsi="Arial" w:cs="Arial"/>
              <w:color w:val="000000"/>
              <w:sz w:val="22"/>
              <w:szCs w:val="22"/>
            </w:rPr>
          </w:pPr>
          <w:hyperlink w:anchor="_2npldweavp2s">
            <w:r w:rsidR="008F5894">
              <w:rPr>
                <w:color w:val="000000"/>
              </w:rPr>
              <w:t>Formulación</w:t>
            </w:r>
            <w:r w:rsidR="008F5894">
              <w:rPr>
                <w:color w:val="000000"/>
              </w:rPr>
              <w:tab/>
              <w:t>12</w:t>
            </w:r>
          </w:hyperlink>
        </w:p>
        <w:p w:rsidR="002619C5" w:rsidRDefault="002A6FAD">
          <w:pPr>
            <w:pStyle w:val="Normal1"/>
            <w:widowControl w:val="0"/>
            <w:tabs>
              <w:tab w:val="right" w:leader="dot" w:pos="12000"/>
            </w:tabs>
            <w:spacing w:before="60" w:after="0" w:line="240" w:lineRule="auto"/>
            <w:ind w:left="360"/>
            <w:jc w:val="left"/>
            <w:rPr>
              <w:rFonts w:ascii="Arial" w:eastAsia="Arial" w:hAnsi="Arial" w:cs="Arial"/>
              <w:color w:val="000000"/>
              <w:sz w:val="22"/>
              <w:szCs w:val="22"/>
            </w:rPr>
          </w:pPr>
          <w:hyperlink w:anchor="_8rpw264efp3w">
            <w:r w:rsidR="008F5894">
              <w:rPr>
                <w:color w:val="000000"/>
              </w:rPr>
              <w:t>Procedimiento de obtención del producto</w:t>
            </w:r>
            <w:r w:rsidR="008F5894">
              <w:rPr>
                <w:color w:val="000000"/>
              </w:rPr>
              <w:tab/>
              <w:t>13</w:t>
            </w:r>
          </w:hyperlink>
        </w:p>
        <w:p w:rsidR="002619C5" w:rsidRDefault="002A6FAD">
          <w:pPr>
            <w:pStyle w:val="Normal1"/>
            <w:widowControl w:val="0"/>
            <w:tabs>
              <w:tab w:val="right" w:leader="dot" w:pos="12000"/>
            </w:tabs>
            <w:spacing w:before="60" w:after="0" w:line="240" w:lineRule="auto"/>
            <w:jc w:val="left"/>
            <w:rPr>
              <w:rFonts w:ascii="Arial" w:eastAsia="Arial" w:hAnsi="Arial" w:cs="Arial"/>
              <w:b/>
              <w:bCs/>
              <w:color w:val="000000"/>
              <w:sz w:val="22"/>
              <w:szCs w:val="22"/>
            </w:rPr>
          </w:pPr>
          <w:hyperlink w:anchor="_76aioqjqr9pw">
            <w:r w:rsidR="008F5894">
              <w:rPr>
                <w:b/>
                <w:bCs/>
                <w:color w:val="000000"/>
              </w:rPr>
              <w:t>CONTROL DE CALIDAD DEL PRODUCTO FINAL</w:t>
            </w:r>
            <w:r w:rsidR="008F5894">
              <w:rPr>
                <w:b/>
                <w:bCs/>
                <w:color w:val="000000"/>
              </w:rPr>
              <w:tab/>
              <w:t>14</w:t>
            </w:r>
          </w:hyperlink>
        </w:p>
        <w:p w:rsidR="002619C5" w:rsidRDefault="002A6FAD">
          <w:pPr>
            <w:pStyle w:val="Normal1"/>
            <w:widowControl w:val="0"/>
            <w:tabs>
              <w:tab w:val="right" w:leader="dot" w:pos="12000"/>
            </w:tabs>
            <w:spacing w:before="60" w:after="0" w:line="240" w:lineRule="auto"/>
            <w:ind w:left="360"/>
            <w:jc w:val="left"/>
            <w:rPr>
              <w:rFonts w:ascii="Arial" w:eastAsia="Arial" w:hAnsi="Arial" w:cs="Arial"/>
              <w:color w:val="000000"/>
              <w:sz w:val="22"/>
              <w:szCs w:val="22"/>
            </w:rPr>
          </w:pPr>
          <w:hyperlink w:anchor="_jxz0qcizqh0i">
            <w:r w:rsidR="008F5894">
              <w:rPr>
                <w:color w:val="000000"/>
                <w:sz w:val="22"/>
                <w:szCs w:val="22"/>
              </w:rPr>
              <w:t>Características sensoriales</w:t>
            </w:r>
            <w:r w:rsidR="008F5894">
              <w:rPr>
                <w:color w:val="000000"/>
                <w:sz w:val="22"/>
                <w:szCs w:val="22"/>
              </w:rPr>
              <w:tab/>
              <w:t>14</w:t>
            </w:r>
          </w:hyperlink>
        </w:p>
        <w:p w:rsidR="002619C5" w:rsidRDefault="002A6FAD">
          <w:pPr>
            <w:pStyle w:val="Normal1"/>
            <w:widowControl w:val="0"/>
            <w:tabs>
              <w:tab w:val="right" w:leader="dot" w:pos="12000"/>
            </w:tabs>
            <w:spacing w:before="60" w:after="0" w:line="240" w:lineRule="auto"/>
            <w:ind w:left="360"/>
            <w:jc w:val="left"/>
            <w:rPr>
              <w:rFonts w:ascii="Arial" w:eastAsia="Arial" w:hAnsi="Arial" w:cs="Arial"/>
              <w:color w:val="000000"/>
              <w:sz w:val="22"/>
              <w:szCs w:val="22"/>
            </w:rPr>
          </w:pPr>
          <w:hyperlink w:anchor="_cmaahi26vrr">
            <w:r w:rsidR="008F5894">
              <w:rPr>
                <w:color w:val="000000"/>
              </w:rPr>
              <w:t>Diagrama de flujo</w:t>
            </w:r>
            <w:r w:rsidR="008F5894">
              <w:rPr>
                <w:color w:val="000000"/>
              </w:rPr>
              <w:tab/>
              <w:t>15</w:t>
            </w:r>
          </w:hyperlink>
        </w:p>
        <w:p w:rsidR="002619C5" w:rsidRDefault="002A6FAD">
          <w:pPr>
            <w:pStyle w:val="Normal1"/>
            <w:widowControl w:val="0"/>
            <w:tabs>
              <w:tab w:val="right" w:leader="dot" w:pos="12000"/>
            </w:tabs>
            <w:spacing w:before="60" w:after="0" w:line="240" w:lineRule="auto"/>
            <w:jc w:val="left"/>
            <w:rPr>
              <w:rFonts w:ascii="Arial" w:eastAsia="Arial" w:hAnsi="Arial" w:cs="Arial"/>
              <w:b/>
              <w:bCs/>
              <w:color w:val="000000"/>
              <w:sz w:val="22"/>
              <w:szCs w:val="22"/>
            </w:rPr>
          </w:pPr>
          <w:hyperlink w:anchor="_6ly4wiw8iynz">
            <w:r w:rsidR="008F5894">
              <w:rPr>
                <w:b/>
                <w:bCs/>
                <w:color w:val="000000"/>
              </w:rPr>
              <w:t>CONCLUSIÓN.</w:t>
            </w:r>
            <w:r w:rsidR="008F5894">
              <w:rPr>
                <w:b/>
                <w:bCs/>
                <w:color w:val="000000"/>
              </w:rPr>
              <w:tab/>
              <w:t>17</w:t>
            </w:r>
          </w:hyperlink>
          <w:r w:rsidR="002619C5">
            <w:fldChar w:fldCharType="end"/>
          </w:r>
        </w:p>
      </w:sdtContent>
    </w:sdt>
    <w:p w:rsidR="002619C5" w:rsidRDefault="002619C5">
      <w:pPr>
        <w:pStyle w:val="Normal1"/>
      </w:pPr>
    </w:p>
    <w:p w:rsidR="002619C5" w:rsidRDefault="008F5894">
      <w:pPr>
        <w:pStyle w:val="Ttulo1"/>
        <w:ind w:firstLine="0"/>
      </w:pPr>
      <w:bookmarkStart w:id="1" w:name="_ji7crjbivsf6" w:colFirst="0" w:colLast="0"/>
      <w:bookmarkEnd w:id="1"/>
      <w:r>
        <w:br w:type="page"/>
      </w:r>
      <w:bookmarkStart w:id="2" w:name="_GoBack"/>
      <w:bookmarkEnd w:id="2"/>
    </w:p>
    <w:p w:rsidR="002619C5" w:rsidRDefault="008F5894">
      <w:pPr>
        <w:pStyle w:val="Ttulo1"/>
      </w:pPr>
      <w:bookmarkStart w:id="3" w:name="_41x3d8qs2yf7" w:colFirst="0" w:colLast="0"/>
      <w:bookmarkEnd w:id="3"/>
      <w:r>
        <w:t>INTRODUCCIÓN</w:t>
      </w:r>
    </w:p>
    <w:p w:rsidR="002619C5" w:rsidRDefault="008F5894">
      <w:pPr>
        <w:pStyle w:val="Normal1"/>
        <w:ind w:firstLine="720"/>
      </w:pPr>
      <w:r>
        <w:t>Los jabalíes salvajes se han ido adaptando a las condiciones ambientales cambiantes, resultando en un incremento de la población de estos animales. En Argentina son consideradas plagas debido al fuerte daño que producen en los cultivos, produciéndose pérdidas considerables en la p</w:t>
      </w:r>
      <w:r w:rsidR="004C0ACD">
        <w:t>roducción agrícola (Ramírez,</w:t>
      </w:r>
      <w:r>
        <w:t xml:space="preserve"> 2003).</w:t>
      </w:r>
    </w:p>
    <w:p w:rsidR="002619C5" w:rsidRDefault="008F5894">
      <w:pPr>
        <w:pStyle w:val="Normal1"/>
      </w:pPr>
      <w:r>
        <w:tab/>
        <w:t>A raíz de esta problemática y para combatir la propagación de esta plaga, ha crecido el interés comercial de estos animales. Además, la carne de jabalí presenta ventajas nutricionales sobre la carne de cerdo deb</w:t>
      </w:r>
      <w:r w:rsidR="004C0ACD">
        <w:t>ido a su</w:t>
      </w:r>
      <w:r>
        <w:t xml:space="preserve">, menor tenor graso y mejor perfil </w:t>
      </w:r>
      <w:r w:rsidR="004C0ACD">
        <w:t xml:space="preserve">de ácidos grasos (Jonsson, </w:t>
      </w:r>
      <w:r>
        <w:t>2022).</w:t>
      </w:r>
    </w:p>
    <w:p w:rsidR="002619C5" w:rsidRDefault="008F5894">
      <w:pPr>
        <w:pStyle w:val="Normal1"/>
        <w:ind w:firstLine="720"/>
      </w:pPr>
      <w:r>
        <w:t>En Argentina, la Secretaría de Agricultura, Ganadería y Pesca dictamina que “la carne de jabalí para la actividad comercial debe provenir de criaderos habilitados por fauna, del mismo modo que la actividad de caza comercial. Se deberá tener en cuenta que solo podrá ser adquirida durante las épocas permitidas y utilizada previa inspección veterinaria oficial (SENASA).” Por lo tanto, es legal su utilización para la manufactura de productos cárnicos.</w:t>
      </w:r>
    </w:p>
    <w:p w:rsidR="002619C5" w:rsidRDefault="004C0ACD">
      <w:pPr>
        <w:pStyle w:val="Normal1"/>
        <w:ind w:firstLine="720"/>
      </w:pPr>
      <w:r>
        <w:t xml:space="preserve">Según </w:t>
      </w:r>
      <w:r w:rsidR="00B46B4A">
        <w:t>(</w:t>
      </w:r>
      <w:proofErr w:type="spellStart"/>
      <w:r>
        <w:t>Ramm</w:t>
      </w:r>
      <w:proofErr w:type="spellEnd"/>
      <w:r>
        <w:t xml:space="preserve">, </w:t>
      </w:r>
      <w:r w:rsidR="008F5894">
        <w:t>2003</w:t>
      </w:r>
      <w:r w:rsidR="00B46B4A">
        <w:t>)</w:t>
      </w:r>
      <w:r w:rsidR="008F5894">
        <w:t>, la composición nutricional de jabalíes criados en cautiverio y silvestres no varía en gran medida; sin embargo, el contenido de grasa de los jabalíes en cautiverio tiende a ser mayor. Esto es debido al tipo de alimentación.</w:t>
      </w:r>
    </w:p>
    <w:p w:rsidR="002619C5" w:rsidRDefault="008F5894">
      <w:pPr>
        <w:pStyle w:val="Normal1"/>
        <w:ind w:firstLine="720"/>
      </w:pPr>
      <w:r>
        <w:t>Desde un punto de vista tecnológico, la carne de jabalí también posee características deseadas en el desarrollo de productos como emulsiones cárnicas, como son la capacidad de retención de agua, firmeza de gel y capacidad emulsionante (</w:t>
      </w:r>
      <w:proofErr w:type="spellStart"/>
      <w:r>
        <w:t>MAGyP</w:t>
      </w:r>
      <w:proofErr w:type="spellEnd"/>
      <w:r>
        <w:t xml:space="preserve"> Argentina, 2016). Por todo lo mencionado anteriormente, se evaluará en este trabajo la viabilidad de la elaboración de una mortadela hecha a base de carne de jabalí.</w:t>
      </w:r>
    </w:p>
    <w:p w:rsidR="002619C5" w:rsidRDefault="008F5894">
      <w:pPr>
        <w:pStyle w:val="Normal1"/>
        <w:ind w:firstLine="720"/>
      </w:pPr>
      <w:r>
        <w:t xml:space="preserve">Por último, se plantea el agregado de nuez </w:t>
      </w:r>
      <w:proofErr w:type="spellStart"/>
      <w:r>
        <w:t>pecán</w:t>
      </w:r>
      <w:proofErr w:type="spellEnd"/>
      <w:r>
        <w:t xml:space="preserve">, un producto regional en uso creciente, con características nutricionales muy favorables para la salud. Se propone incorporarlo en dos presentaciones. La primera, en trozos pequeños, con el objetivo de conferir al producto un sabor distintivo que aporte valor agregado. Esta característica permite identificarlo en la etiqueta como “producto gourmet” y “producto regional”, favoreciendo su diferenciación frente a otras alternativas disponibles en el mercado. </w:t>
      </w:r>
    </w:p>
    <w:p w:rsidR="002619C5" w:rsidRDefault="00633478">
      <w:pPr>
        <w:pStyle w:val="Normal1"/>
        <w:ind w:firstLine="720"/>
      </w:pPr>
      <w:proofErr w:type="gramStart"/>
      <w:r>
        <w:lastRenderedPageBreak/>
        <w:t>El segunda forma</w:t>
      </w:r>
      <w:proofErr w:type="gramEnd"/>
      <w:r w:rsidR="008F5894">
        <w:t xml:space="preserve"> es mediante un hidrogel O/W de aceite de </w:t>
      </w:r>
      <w:r>
        <w:t xml:space="preserve">nuez </w:t>
      </w:r>
      <w:proofErr w:type="spellStart"/>
      <w:r>
        <w:t>pecán</w:t>
      </w:r>
      <w:proofErr w:type="spellEnd"/>
      <w:r>
        <w:t xml:space="preserve"> y chía</w:t>
      </w:r>
      <w:r w:rsidR="008F5894">
        <w:t xml:space="preserve">. Este hidrogel </w:t>
      </w:r>
      <w:proofErr w:type="spellStart"/>
      <w:r w:rsidR="008F5894">
        <w:t>vehiculizador</w:t>
      </w:r>
      <w:proofErr w:type="spellEnd"/>
      <w:r w:rsidR="008F5894">
        <w:t xml:space="preserve"> de aceites saludables posee propiedades fisicoquímicas, reológicas y de estabilidad adecuadas para el desarrollo de estos productos, además de poseer un perfil de ácidos grasos n6/n3 d</w:t>
      </w:r>
      <w:r w:rsidR="004C0ACD">
        <w:t>e 4:1 (</w:t>
      </w:r>
      <w:proofErr w:type="spellStart"/>
      <w:r w:rsidR="004C0ACD">
        <w:t>Jenko</w:t>
      </w:r>
      <w:proofErr w:type="spellEnd"/>
      <w:r w:rsidR="004C0ACD">
        <w:t xml:space="preserve">, </w:t>
      </w:r>
      <w:r w:rsidR="008F5894">
        <w:t>2026), considerado b</w:t>
      </w:r>
      <w:r>
        <w:t>eneficioso para la salud. E</w:t>
      </w:r>
      <w:r w:rsidR="008F5894">
        <w:t>st</w:t>
      </w:r>
      <w:r>
        <w:t>o permite mejorar</w:t>
      </w:r>
      <w:r w:rsidR="008F5894">
        <w:t xml:space="preserve"> el perfil nutricional del producto, ofreciendo una alternativa más saludable que se acerca a los requerimientos </w:t>
      </w:r>
      <w:r>
        <w:t>de los consumidores actuales los cuales</w:t>
      </w:r>
      <w:r w:rsidR="008F5894">
        <w:t xml:space="preserve"> buscan opciones orientadas al cuidado de la salud.</w:t>
      </w:r>
    </w:p>
    <w:p w:rsidR="002619C5" w:rsidRDefault="008F5894">
      <w:pPr>
        <w:pStyle w:val="Ttulo1"/>
      </w:pPr>
      <w:bookmarkStart w:id="4" w:name="_plgttl5y1xi" w:colFirst="0" w:colLast="0"/>
      <w:bookmarkEnd w:id="4"/>
      <w:r>
        <w:t>REGLAMENTO VIGENTE</w:t>
      </w:r>
    </w:p>
    <w:p w:rsidR="002619C5" w:rsidRDefault="008F5894">
      <w:pPr>
        <w:pStyle w:val="Normal1"/>
      </w:pPr>
      <w:r>
        <w:tab/>
        <w:t>Según el Código Alimentario Argentino, en el Artículo 261 se considera producto de caza mayor al jabalí (</w:t>
      </w:r>
      <w:r w:rsidRPr="004C0ACD">
        <w:rPr>
          <w:i/>
        </w:rPr>
        <w:t xml:space="preserve">Sus </w:t>
      </w:r>
      <w:proofErr w:type="spellStart"/>
      <w:r w:rsidRPr="004C0ACD">
        <w:rPr>
          <w:i/>
        </w:rPr>
        <w:t>scrofa</w:t>
      </w:r>
      <w:proofErr w:type="spellEnd"/>
      <w:r>
        <w:t xml:space="preserve">); este es apto para su utilización en productos cárnicos por el Artículo 267, que dicta: “Los productos procedentes de especies no domésticas criadas en cautividad podrán expenderse en toda época del año, siempre y cuando se cumplan los siguientes requisitos: 1. Tener registrado el criadero ante las autoridades competentes. 2. El haber sido los animales previamente examinados y declarados aptos para el consumo por veterinaria oficial. 3. La elaboración de conservas con estas especies se hará previa declaración de aptitud por veterinaria oficial.” </w:t>
      </w:r>
    </w:p>
    <w:p w:rsidR="002619C5" w:rsidRDefault="008F5894">
      <w:pPr>
        <w:pStyle w:val="Normal1"/>
        <w:ind w:firstLine="720"/>
      </w:pPr>
      <w:r>
        <w:t>Mientras que el Artículo 269 dictamina que todo producto autorizado para consumo humano, ya sea en estado fresco o elaborado, deberá hacerse con la denominación vulgar y pudiendo agregar el nombre científico.</w:t>
      </w:r>
    </w:p>
    <w:p w:rsidR="002619C5" w:rsidRDefault="008F5894">
      <w:pPr>
        <w:pStyle w:val="Normal1"/>
      </w:pPr>
      <w:r>
        <w:tab/>
        <w:t xml:space="preserve">La mortadela está considerada dentro de la categoría de embutido cocido según el Artículo 307, siendo estos “cualquiera sea su forma de elaboración, los que sufren un proceso de cocción por calor seco (estufas) o en agua con o sin sal, o al vapor”. </w:t>
      </w:r>
    </w:p>
    <w:p w:rsidR="002619C5" w:rsidRDefault="008F5894">
      <w:pPr>
        <w:pStyle w:val="Normal1"/>
        <w:ind w:firstLine="720"/>
      </w:pPr>
      <w:r>
        <w:t>Además, esp</w:t>
      </w:r>
      <w:r w:rsidR="00377CC0">
        <w:t>ecíficamente</w:t>
      </w:r>
      <w:r>
        <w:t xml:space="preserve"> el Artículo 346 dice:</w:t>
      </w:r>
    </w:p>
    <w:p w:rsidR="002619C5" w:rsidRDefault="008F5894">
      <w:pPr>
        <w:pStyle w:val="Normal1"/>
        <w:ind w:left="1440" w:firstLine="720"/>
      </w:pPr>
      <w:r>
        <w:t xml:space="preserve">Con el nombre genérico de Mortadela, se entiende el embutido, elaborado sobre la base de carnes de especies de consumo permitido, con el agregado o no de tocino, azúcar, con o sin la adición de salitre, productos amiláceos, leche en polvo y especias. La mezcla se embute en bolsitas de plástico aprobado a tal fin, tripas secas cosidas, vejigas y esófagos cosidos. Cuando no se trate de vejigas, se colocarán en moldes de acuerdo con la forma </w:t>
      </w:r>
      <w:r>
        <w:lastRenderedPageBreak/>
        <w:t>que se desee obtener. Estos productos tendrán como máximo 1136 mg de sodio/100 g de producto. Se rotulará ‘Mortadela de</w:t>
      </w:r>
      <w:proofErr w:type="gramStart"/>
      <w:r>
        <w:t>…....</w:t>
      </w:r>
      <w:proofErr w:type="gramEnd"/>
      <w:r>
        <w:t>’, completando este espacio con el nombre de la especie comestible utilizada como ingrediente. Se admitirá la denominación ‘Mortadela’ sin otro calificativo cuando el producto esté elaborado exclusivamente sobre la base de carne de cerdo y vacuno. (Artículo 346, CAA, 2025).</w:t>
      </w:r>
    </w:p>
    <w:p w:rsidR="002619C5" w:rsidRDefault="008F5894">
      <w:pPr>
        <w:pStyle w:val="Normal1"/>
        <w:rPr>
          <w:b/>
          <w:bCs/>
        </w:rPr>
      </w:pPr>
      <w:r>
        <w:tab/>
        <w:t>Por ende, a priori, el producto está contemplado por la norma vigente y puede ser comercializado con la denominación de “</w:t>
      </w:r>
      <w:r>
        <w:rPr>
          <w:b/>
          <w:bCs/>
        </w:rPr>
        <w:t>Mortadela de jabalí con trozos de nuez pecan”.</w:t>
      </w:r>
    </w:p>
    <w:p w:rsidR="002619C5" w:rsidRDefault="008F5894">
      <w:pPr>
        <w:pStyle w:val="Normal1"/>
      </w:pPr>
      <w:r>
        <w:rPr>
          <w:b/>
          <w:bCs/>
        </w:rPr>
        <w:tab/>
      </w:r>
      <w:r>
        <w:t xml:space="preserve">Con respecto al agregado del hidrogel O/W, será necesario especificarlo en el rótulo; sin embargo, como es un ingrediente nuevo, tal vez sea necesario consultar con ANMAT, debido a </w:t>
      </w:r>
      <w:proofErr w:type="gramStart"/>
      <w:r>
        <w:t>que</w:t>
      </w:r>
      <w:proofErr w:type="gramEnd"/>
      <w:r>
        <w:t xml:space="preserve"> si cambia sustancialmente las características del producto, sería necesario denominarlo posiblemente como “Producto Cárnico Emulsionado de Jabalí”.</w:t>
      </w:r>
    </w:p>
    <w:p w:rsidR="002619C5" w:rsidRDefault="008F5894">
      <w:pPr>
        <w:pStyle w:val="Ttulo1"/>
        <w:spacing w:after="200"/>
        <w:ind w:left="720" w:firstLine="0"/>
      </w:pPr>
      <w:bookmarkStart w:id="5" w:name="_841bw5lr0vy6" w:colFirst="0" w:colLast="0"/>
      <w:bookmarkEnd w:id="5"/>
      <w:r>
        <w:t>ANÁLISIS DE CALIDAD DE LA MATERIA PRIMA</w:t>
      </w:r>
    </w:p>
    <w:p w:rsidR="002619C5" w:rsidRDefault="008F5894">
      <w:pPr>
        <w:pStyle w:val="Ttulo2"/>
        <w:spacing w:before="0"/>
        <w:ind w:firstLine="720"/>
        <w:rPr>
          <w:sz w:val="24"/>
          <w:szCs w:val="24"/>
          <w:u w:val="single"/>
        </w:rPr>
      </w:pPr>
      <w:bookmarkStart w:id="6" w:name="_h14ss81eh8k5" w:colFirst="0" w:colLast="0"/>
      <w:bookmarkEnd w:id="6"/>
      <w:r>
        <w:rPr>
          <w:sz w:val="24"/>
          <w:szCs w:val="24"/>
          <w:u w:val="single"/>
        </w:rPr>
        <w:t>Composición nutricional</w:t>
      </w:r>
    </w:p>
    <w:p w:rsidR="002619C5" w:rsidRDefault="008F5894">
      <w:pPr>
        <w:pStyle w:val="Normal1"/>
        <w:spacing w:after="80"/>
        <w:ind w:firstLine="720"/>
      </w:pPr>
      <w:r>
        <w:t>La carne de jabalí presenta un perfil nutricional favor</w:t>
      </w:r>
      <w:r w:rsidR="00633478">
        <w:t>able, diferenciándose</w:t>
      </w:r>
      <w:r>
        <w:t xml:space="preserve"> de la del cerdo doméstico en cuant</w:t>
      </w:r>
      <w:r w:rsidR="00633478">
        <w:t>o a su contenido graso,</w:t>
      </w:r>
      <w:r>
        <w:t xml:space="preserve"> y perfil de ácidos grasos. La composición proximal varía en función de factores como el sexo del animal, la edad, la alimentación disponible, la época del año y la región geográfica.</w:t>
      </w:r>
    </w:p>
    <w:p w:rsidR="002619C5" w:rsidRDefault="008F5894">
      <w:pPr>
        <w:pStyle w:val="Normal1"/>
        <w:spacing w:before="80" w:after="0"/>
        <w:ind w:firstLine="720"/>
        <w:jc w:val="left"/>
        <w:rPr>
          <w:i/>
          <w:iCs/>
        </w:rPr>
      </w:pPr>
      <w:r>
        <w:rPr>
          <w:i/>
          <w:iCs/>
        </w:rPr>
        <w:t xml:space="preserve">Tabla 1. Composición nutricional promedio de la carne de </w:t>
      </w:r>
      <w:proofErr w:type="gramStart"/>
      <w:r>
        <w:rPr>
          <w:i/>
          <w:iCs/>
        </w:rPr>
        <w:t>jabalí.*</w:t>
      </w:r>
      <w:proofErr w:type="gramEnd"/>
    </w:p>
    <w:tbl>
      <w:tblPr>
        <w:tblStyle w:val="a0"/>
        <w:tblW w:w="6191" w:type="dxa"/>
        <w:tblInd w:w="1473" w:type="dxa"/>
        <w:tblBorders>
          <w:top w:val="nil"/>
          <w:left w:val="nil"/>
          <w:bottom w:val="nil"/>
          <w:right w:val="nil"/>
          <w:insideH w:val="nil"/>
          <w:insideV w:val="nil"/>
        </w:tblBorders>
        <w:tblLayout w:type="fixed"/>
        <w:tblLook w:val="0600" w:firstRow="0" w:lastRow="0" w:firstColumn="0" w:lastColumn="0" w:noHBand="1" w:noVBand="1"/>
      </w:tblPr>
      <w:tblGrid>
        <w:gridCol w:w="3131"/>
        <w:gridCol w:w="3060"/>
      </w:tblGrid>
      <w:tr w:rsidR="002619C5">
        <w:trPr>
          <w:cantSplit/>
          <w:trHeight w:val="453"/>
          <w:tblHeader/>
        </w:trPr>
        <w:tc>
          <w:tcPr>
            <w:tcW w:w="3131" w:type="dxa"/>
            <w:tcBorders>
              <w:top w:val="single" w:sz="12" w:space="0" w:color="000000"/>
              <w:left w:val="single" w:sz="12" w:space="0" w:color="FFFFFF"/>
              <w:bottom w:val="single" w:sz="12" w:space="0" w:color="000000"/>
              <w:right w:val="single" w:sz="12" w:space="0" w:color="FFFFFF"/>
            </w:tcBorders>
            <w:tcMar>
              <w:top w:w="56" w:type="dxa"/>
              <w:left w:w="56" w:type="dxa"/>
              <w:bottom w:w="56" w:type="dxa"/>
              <w:right w:w="56" w:type="dxa"/>
            </w:tcMar>
            <w:vAlign w:val="center"/>
          </w:tcPr>
          <w:p w:rsidR="002619C5" w:rsidRDefault="008F5894">
            <w:pPr>
              <w:pStyle w:val="Normal1"/>
              <w:spacing w:after="0"/>
              <w:jc w:val="center"/>
              <w:rPr>
                <w:b/>
                <w:bCs/>
              </w:rPr>
            </w:pPr>
            <w:r>
              <w:rPr>
                <w:b/>
                <w:bCs/>
              </w:rPr>
              <w:t>Parámetro</w:t>
            </w:r>
          </w:p>
        </w:tc>
        <w:tc>
          <w:tcPr>
            <w:tcW w:w="3060" w:type="dxa"/>
            <w:tcBorders>
              <w:top w:val="single" w:sz="12" w:space="0" w:color="000000"/>
              <w:left w:val="single" w:sz="12" w:space="0" w:color="FFFFFF"/>
              <w:bottom w:val="single" w:sz="12" w:space="0" w:color="000000"/>
              <w:right w:val="single" w:sz="12" w:space="0" w:color="FFFFFF"/>
            </w:tcBorders>
            <w:tcMar>
              <w:top w:w="56" w:type="dxa"/>
              <w:left w:w="56" w:type="dxa"/>
              <w:bottom w:w="56" w:type="dxa"/>
              <w:right w:w="56" w:type="dxa"/>
            </w:tcMar>
            <w:vAlign w:val="center"/>
          </w:tcPr>
          <w:p w:rsidR="002619C5" w:rsidRDefault="008F5894">
            <w:pPr>
              <w:pStyle w:val="Normal1"/>
              <w:spacing w:after="0"/>
              <w:jc w:val="center"/>
              <w:rPr>
                <w:b/>
                <w:bCs/>
              </w:rPr>
            </w:pPr>
            <w:r>
              <w:rPr>
                <w:b/>
                <w:bCs/>
              </w:rPr>
              <w:t>Valor</w:t>
            </w:r>
          </w:p>
        </w:tc>
      </w:tr>
      <w:tr w:rsidR="002619C5">
        <w:trPr>
          <w:cantSplit/>
          <w:trHeight w:val="453"/>
          <w:tblHeader/>
        </w:trPr>
        <w:tc>
          <w:tcPr>
            <w:tcW w:w="3131" w:type="dxa"/>
            <w:tcBorders>
              <w:top w:val="single" w:sz="12"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spacing w:after="0"/>
              <w:jc w:val="center"/>
            </w:pPr>
            <w:r>
              <w:t>Proteínas</w:t>
            </w:r>
          </w:p>
        </w:tc>
        <w:tc>
          <w:tcPr>
            <w:tcW w:w="3060" w:type="dxa"/>
            <w:tcBorders>
              <w:top w:val="single" w:sz="12"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spacing w:after="0"/>
              <w:jc w:val="center"/>
            </w:pPr>
            <w:r>
              <w:t>22 g / 100 g de carne</w:t>
            </w:r>
          </w:p>
        </w:tc>
      </w:tr>
      <w:tr w:rsidR="002619C5">
        <w:trPr>
          <w:cantSplit/>
          <w:trHeight w:val="453"/>
          <w:tblHeader/>
        </w:trPr>
        <w:tc>
          <w:tcPr>
            <w:tcW w:w="3131" w:type="dxa"/>
            <w:tcBorders>
              <w:top w:val="single" w:sz="6" w:space="0" w:color="000000"/>
              <w:left w:val="single" w:sz="6" w:space="0" w:color="FFFFFF"/>
              <w:bottom w:val="single" w:sz="6" w:space="0" w:color="000000"/>
              <w:right w:val="single" w:sz="6" w:space="0" w:color="FFFFFF"/>
            </w:tcBorders>
            <w:shd w:val="clear" w:color="auto" w:fill="FFFFFF"/>
            <w:tcMar>
              <w:top w:w="56" w:type="dxa"/>
              <w:left w:w="56" w:type="dxa"/>
              <w:bottom w:w="56" w:type="dxa"/>
              <w:right w:w="56" w:type="dxa"/>
            </w:tcMar>
            <w:vAlign w:val="center"/>
          </w:tcPr>
          <w:p w:rsidR="002619C5" w:rsidRDefault="008F5894">
            <w:pPr>
              <w:pStyle w:val="Normal1"/>
              <w:spacing w:after="0"/>
              <w:jc w:val="center"/>
            </w:pPr>
            <w:r>
              <w:t>Grasas totales</w:t>
            </w:r>
          </w:p>
        </w:tc>
        <w:tc>
          <w:tcPr>
            <w:tcW w:w="3060" w:type="dxa"/>
            <w:tcBorders>
              <w:top w:val="single" w:sz="6" w:space="0" w:color="000000"/>
              <w:left w:val="single" w:sz="6" w:space="0" w:color="FFFFFF"/>
              <w:bottom w:val="single" w:sz="6" w:space="0" w:color="000000"/>
              <w:right w:val="single" w:sz="6" w:space="0" w:color="FFFFFF"/>
            </w:tcBorders>
            <w:shd w:val="clear" w:color="auto" w:fill="FFFFFF"/>
            <w:tcMar>
              <w:top w:w="56" w:type="dxa"/>
              <w:left w:w="56" w:type="dxa"/>
              <w:bottom w:w="56" w:type="dxa"/>
              <w:right w:w="56" w:type="dxa"/>
            </w:tcMar>
            <w:vAlign w:val="center"/>
          </w:tcPr>
          <w:p w:rsidR="002619C5" w:rsidRDefault="008F5894">
            <w:pPr>
              <w:pStyle w:val="Normal1"/>
              <w:spacing w:after="0"/>
              <w:jc w:val="center"/>
            </w:pPr>
            <w:r>
              <w:t>3,45 g / 100 g de carne</w:t>
            </w:r>
          </w:p>
        </w:tc>
      </w:tr>
      <w:tr w:rsidR="002619C5">
        <w:trPr>
          <w:cantSplit/>
          <w:trHeight w:val="453"/>
          <w:tblHeader/>
        </w:trPr>
        <w:tc>
          <w:tcPr>
            <w:tcW w:w="3131"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spacing w:after="0"/>
              <w:jc w:val="center"/>
            </w:pPr>
            <w:r>
              <w:t>Colesterol</w:t>
            </w:r>
          </w:p>
        </w:tc>
        <w:tc>
          <w:tcPr>
            <w:tcW w:w="3060"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spacing w:after="0"/>
              <w:jc w:val="center"/>
            </w:pPr>
            <w:r>
              <w:t>45 mg / 100 g de carne</w:t>
            </w:r>
          </w:p>
        </w:tc>
      </w:tr>
      <w:tr w:rsidR="002619C5">
        <w:trPr>
          <w:cantSplit/>
          <w:trHeight w:val="453"/>
          <w:tblHeader/>
        </w:trPr>
        <w:tc>
          <w:tcPr>
            <w:tcW w:w="3131" w:type="dxa"/>
            <w:tcBorders>
              <w:top w:val="single" w:sz="6" w:space="0" w:color="000000"/>
              <w:left w:val="single" w:sz="6" w:space="0" w:color="FFFFFF"/>
              <w:bottom w:val="single" w:sz="6" w:space="0" w:color="000000"/>
              <w:right w:val="single" w:sz="6" w:space="0" w:color="FFFFFF"/>
            </w:tcBorders>
            <w:shd w:val="clear" w:color="auto" w:fill="FFFFFF"/>
            <w:tcMar>
              <w:top w:w="56" w:type="dxa"/>
              <w:left w:w="56" w:type="dxa"/>
              <w:bottom w:w="56" w:type="dxa"/>
              <w:right w:w="56" w:type="dxa"/>
            </w:tcMar>
            <w:vAlign w:val="center"/>
          </w:tcPr>
          <w:p w:rsidR="002619C5" w:rsidRDefault="008F5894">
            <w:pPr>
              <w:pStyle w:val="Normal1"/>
              <w:spacing w:after="0"/>
              <w:jc w:val="center"/>
            </w:pPr>
            <w:r>
              <w:t>Valor energético</w:t>
            </w:r>
          </w:p>
        </w:tc>
        <w:tc>
          <w:tcPr>
            <w:tcW w:w="3060" w:type="dxa"/>
            <w:tcBorders>
              <w:top w:val="single" w:sz="6" w:space="0" w:color="000000"/>
              <w:left w:val="single" w:sz="6" w:space="0" w:color="FFFFFF"/>
              <w:bottom w:val="single" w:sz="6" w:space="0" w:color="000000"/>
              <w:right w:val="single" w:sz="6" w:space="0" w:color="FFFFFF"/>
            </w:tcBorders>
            <w:shd w:val="clear" w:color="auto" w:fill="FFFFFF"/>
            <w:tcMar>
              <w:top w:w="56" w:type="dxa"/>
              <w:left w:w="56" w:type="dxa"/>
              <w:bottom w:w="56" w:type="dxa"/>
              <w:right w:w="56" w:type="dxa"/>
            </w:tcMar>
            <w:vAlign w:val="center"/>
          </w:tcPr>
          <w:p w:rsidR="002619C5" w:rsidRDefault="008F5894">
            <w:pPr>
              <w:pStyle w:val="Normal1"/>
              <w:spacing w:after="0"/>
              <w:jc w:val="center"/>
            </w:pPr>
            <w:r>
              <w:t>112 – 118 kcal / 100 g</w:t>
            </w:r>
          </w:p>
        </w:tc>
      </w:tr>
    </w:tbl>
    <w:p w:rsidR="002619C5" w:rsidRDefault="008F5894">
      <w:pPr>
        <w:pStyle w:val="Normal1"/>
        <w:spacing w:before="80" w:after="0"/>
        <w:ind w:firstLine="720"/>
        <w:jc w:val="left"/>
      </w:pPr>
      <w:r>
        <w:rPr>
          <w:i/>
          <w:iCs/>
        </w:rPr>
        <w:t>Datos extraídos de: (</w:t>
      </w:r>
      <w:proofErr w:type="spellStart"/>
      <w:r>
        <w:rPr>
          <w:i/>
          <w:iCs/>
        </w:rPr>
        <w:t>MAGyP</w:t>
      </w:r>
      <w:proofErr w:type="spellEnd"/>
      <w:r>
        <w:rPr>
          <w:i/>
          <w:iCs/>
        </w:rPr>
        <w:t xml:space="preserve"> Argentina, </w:t>
      </w:r>
      <w:proofErr w:type="gramStart"/>
      <w:r>
        <w:rPr>
          <w:i/>
          <w:iCs/>
        </w:rPr>
        <w:t>2016)*</w:t>
      </w:r>
      <w:proofErr w:type="gramEnd"/>
      <w:r>
        <w:rPr>
          <w:i/>
          <w:iCs/>
        </w:rPr>
        <w:t>.</w:t>
      </w:r>
    </w:p>
    <w:p w:rsidR="002619C5" w:rsidRDefault="008F5894">
      <w:pPr>
        <w:pStyle w:val="Normal1"/>
        <w:spacing w:before="80" w:after="0"/>
        <w:ind w:firstLine="720"/>
        <w:jc w:val="left"/>
      </w:pPr>
      <w:r>
        <w:t>A continuación, se muestra una tabla comparativa de la carne de jabalí con otros cortes animales.</w:t>
      </w:r>
      <w:r>
        <w:br w:type="page"/>
      </w:r>
    </w:p>
    <w:p w:rsidR="002619C5" w:rsidRDefault="008F5894">
      <w:pPr>
        <w:pStyle w:val="Normal1"/>
        <w:spacing w:after="0"/>
        <w:ind w:firstLine="720"/>
      </w:pPr>
      <w:r>
        <w:rPr>
          <w:i/>
          <w:iCs/>
        </w:rPr>
        <w:lastRenderedPageBreak/>
        <w:t xml:space="preserve">TABLA 2. Comparación de la composición nutritiva de varios productos </w:t>
      </w:r>
      <w:proofErr w:type="gramStart"/>
      <w:r>
        <w:rPr>
          <w:i/>
          <w:iCs/>
        </w:rPr>
        <w:t>animales.*</w:t>
      </w:r>
      <w:proofErr w:type="gramEnd"/>
    </w:p>
    <w:tbl>
      <w:tblPr>
        <w:tblStyle w:val="a1"/>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44"/>
        <w:gridCol w:w="1481"/>
        <w:gridCol w:w="1350"/>
        <w:gridCol w:w="1875"/>
        <w:gridCol w:w="1650"/>
      </w:tblGrid>
      <w:tr w:rsidR="002619C5">
        <w:trPr>
          <w:cantSplit/>
          <w:tblHeader/>
        </w:trPr>
        <w:tc>
          <w:tcPr>
            <w:tcW w:w="2643" w:type="dxa"/>
            <w:tcBorders>
              <w:top w:val="single" w:sz="12" w:space="0" w:color="000000"/>
              <w:left w:val="single" w:sz="12" w:space="0" w:color="FFFFFF"/>
              <w:bottom w:val="single" w:sz="12" w:space="0" w:color="000000"/>
              <w:right w:val="single" w:sz="12" w:space="0" w:color="FFFFFF"/>
            </w:tcBorders>
            <w:shd w:val="clear" w:color="auto" w:fill="auto"/>
            <w:tcMar>
              <w:top w:w="100" w:type="dxa"/>
              <w:left w:w="100" w:type="dxa"/>
              <w:bottom w:w="100" w:type="dxa"/>
              <w:right w:w="100" w:type="dxa"/>
            </w:tcMar>
            <w:vAlign w:val="center"/>
          </w:tcPr>
          <w:p w:rsidR="002619C5" w:rsidRDefault="008F5894">
            <w:pPr>
              <w:pStyle w:val="Normal1"/>
              <w:widowControl w:val="0"/>
              <w:pBdr>
                <w:top w:val="nil"/>
                <w:left w:val="nil"/>
                <w:bottom w:val="nil"/>
                <w:right w:val="nil"/>
                <w:between w:val="nil"/>
              </w:pBdr>
              <w:spacing w:after="0" w:line="240" w:lineRule="auto"/>
              <w:jc w:val="center"/>
              <w:rPr>
                <w:b/>
                <w:bCs/>
              </w:rPr>
            </w:pPr>
            <w:r>
              <w:rPr>
                <w:b/>
                <w:bCs/>
              </w:rPr>
              <w:t>Por 100 g de producto</w:t>
            </w:r>
          </w:p>
        </w:tc>
        <w:tc>
          <w:tcPr>
            <w:tcW w:w="1481" w:type="dxa"/>
            <w:tcBorders>
              <w:top w:val="single" w:sz="12" w:space="0" w:color="000000"/>
              <w:left w:val="single" w:sz="12" w:space="0" w:color="FFFFFF"/>
              <w:bottom w:val="single" w:sz="12" w:space="0" w:color="000000"/>
              <w:right w:val="single" w:sz="12" w:space="0" w:color="FFFFFF"/>
            </w:tcBorders>
            <w:shd w:val="clear" w:color="auto" w:fill="auto"/>
            <w:tcMar>
              <w:top w:w="100" w:type="dxa"/>
              <w:left w:w="100" w:type="dxa"/>
              <w:bottom w:w="100" w:type="dxa"/>
              <w:right w:w="100" w:type="dxa"/>
            </w:tcMar>
            <w:vAlign w:val="center"/>
          </w:tcPr>
          <w:p w:rsidR="002619C5" w:rsidRDefault="008F5894">
            <w:pPr>
              <w:pStyle w:val="Normal1"/>
              <w:widowControl w:val="0"/>
              <w:pBdr>
                <w:top w:val="nil"/>
                <w:left w:val="nil"/>
                <w:bottom w:val="nil"/>
                <w:right w:val="nil"/>
                <w:between w:val="nil"/>
              </w:pBdr>
              <w:spacing w:after="0" w:line="240" w:lineRule="auto"/>
              <w:jc w:val="center"/>
              <w:rPr>
                <w:b/>
                <w:bCs/>
              </w:rPr>
            </w:pPr>
            <w:r>
              <w:rPr>
                <w:b/>
                <w:bCs/>
              </w:rPr>
              <w:t>Calorías</w:t>
            </w:r>
          </w:p>
        </w:tc>
        <w:tc>
          <w:tcPr>
            <w:tcW w:w="1350" w:type="dxa"/>
            <w:tcBorders>
              <w:top w:val="single" w:sz="12" w:space="0" w:color="000000"/>
              <w:left w:val="single" w:sz="12" w:space="0" w:color="FFFFFF"/>
              <w:bottom w:val="single" w:sz="12" w:space="0" w:color="000000"/>
              <w:right w:val="single" w:sz="12" w:space="0" w:color="FFFFFF"/>
            </w:tcBorders>
            <w:shd w:val="clear" w:color="auto" w:fill="auto"/>
            <w:tcMar>
              <w:top w:w="100" w:type="dxa"/>
              <w:left w:w="100" w:type="dxa"/>
              <w:bottom w:w="100" w:type="dxa"/>
              <w:right w:w="100" w:type="dxa"/>
            </w:tcMar>
            <w:vAlign w:val="center"/>
          </w:tcPr>
          <w:p w:rsidR="002619C5" w:rsidRDefault="008F5894">
            <w:pPr>
              <w:pStyle w:val="Normal1"/>
              <w:widowControl w:val="0"/>
              <w:pBdr>
                <w:top w:val="nil"/>
                <w:left w:val="nil"/>
                <w:bottom w:val="nil"/>
                <w:right w:val="nil"/>
                <w:between w:val="nil"/>
              </w:pBdr>
              <w:spacing w:after="0" w:line="240" w:lineRule="auto"/>
              <w:jc w:val="center"/>
              <w:rPr>
                <w:b/>
                <w:bCs/>
              </w:rPr>
            </w:pPr>
            <w:r>
              <w:rPr>
                <w:b/>
                <w:bCs/>
              </w:rPr>
              <w:t>Grasa (g)</w:t>
            </w:r>
          </w:p>
        </w:tc>
        <w:tc>
          <w:tcPr>
            <w:tcW w:w="1875" w:type="dxa"/>
            <w:tcBorders>
              <w:top w:val="single" w:sz="12" w:space="0" w:color="000000"/>
              <w:left w:val="single" w:sz="12" w:space="0" w:color="FFFFFF"/>
              <w:bottom w:val="single" w:sz="12" w:space="0" w:color="000000"/>
              <w:right w:val="single" w:sz="12" w:space="0" w:color="FFFFFF"/>
            </w:tcBorders>
            <w:shd w:val="clear" w:color="auto" w:fill="auto"/>
            <w:tcMar>
              <w:top w:w="100" w:type="dxa"/>
              <w:left w:w="100" w:type="dxa"/>
              <w:bottom w:w="100" w:type="dxa"/>
              <w:right w:w="100" w:type="dxa"/>
            </w:tcMar>
            <w:vAlign w:val="center"/>
          </w:tcPr>
          <w:p w:rsidR="002619C5" w:rsidRDefault="008F5894">
            <w:pPr>
              <w:pStyle w:val="Normal1"/>
              <w:widowControl w:val="0"/>
              <w:pBdr>
                <w:top w:val="nil"/>
                <w:left w:val="nil"/>
                <w:bottom w:val="nil"/>
                <w:right w:val="nil"/>
                <w:between w:val="nil"/>
              </w:pBdr>
              <w:spacing w:after="0" w:line="240" w:lineRule="auto"/>
              <w:jc w:val="center"/>
              <w:rPr>
                <w:b/>
                <w:bCs/>
              </w:rPr>
            </w:pPr>
            <w:r>
              <w:rPr>
                <w:b/>
                <w:bCs/>
              </w:rPr>
              <w:t>Colesterol (mg)</w:t>
            </w:r>
          </w:p>
        </w:tc>
        <w:tc>
          <w:tcPr>
            <w:tcW w:w="1650" w:type="dxa"/>
            <w:tcBorders>
              <w:top w:val="single" w:sz="12" w:space="0" w:color="000000"/>
              <w:left w:val="single" w:sz="12" w:space="0" w:color="FFFFFF"/>
              <w:bottom w:val="single" w:sz="12" w:space="0" w:color="000000"/>
              <w:right w:val="single" w:sz="12" w:space="0" w:color="FFFFFF"/>
            </w:tcBorders>
            <w:shd w:val="clear" w:color="auto" w:fill="auto"/>
            <w:tcMar>
              <w:top w:w="100" w:type="dxa"/>
              <w:left w:w="100" w:type="dxa"/>
              <w:bottom w:w="100" w:type="dxa"/>
              <w:right w:w="100" w:type="dxa"/>
            </w:tcMar>
            <w:vAlign w:val="center"/>
          </w:tcPr>
          <w:p w:rsidR="002619C5" w:rsidRDefault="008F5894">
            <w:pPr>
              <w:pStyle w:val="Normal1"/>
              <w:widowControl w:val="0"/>
              <w:pBdr>
                <w:top w:val="nil"/>
                <w:left w:val="nil"/>
                <w:bottom w:val="nil"/>
                <w:right w:val="nil"/>
                <w:between w:val="nil"/>
              </w:pBdr>
              <w:spacing w:after="0" w:line="240" w:lineRule="auto"/>
              <w:jc w:val="center"/>
              <w:rPr>
                <w:b/>
                <w:bCs/>
              </w:rPr>
            </w:pPr>
            <w:r>
              <w:rPr>
                <w:b/>
                <w:bCs/>
              </w:rPr>
              <w:t>Proteínas (g)</w:t>
            </w:r>
          </w:p>
        </w:tc>
      </w:tr>
      <w:tr w:rsidR="002619C5">
        <w:trPr>
          <w:cantSplit/>
          <w:tblHeader/>
        </w:trPr>
        <w:tc>
          <w:tcPr>
            <w:tcW w:w="2643" w:type="dxa"/>
            <w:tcBorders>
              <w:top w:val="single" w:sz="12" w:space="0" w:color="000000"/>
              <w:left w:val="single" w:sz="8" w:space="0" w:color="FFFFFF"/>
              <w:bottom w:val="single" w:sz="6" w:space="0" w:color="000000"/>
              <w:right w:val="single" w:sz="8" w:space="0" w:color="FFFFFF"/>
            </w:tcBorders>
            <w:shd w:val="clear" w:color="auto" w:fill="auto"/>
            <w:tcMar>
              <w:top w:w="100" w:type="dxa"/>
              <w:left w:w="100" w:type="dxa"/>
              <w:bottom w:w="100" w:type="dxa"/>
              <w:right w:w="100" w:type="dxa"/>
            </w:tcMar>
            <w:vAlign w:val="center"/>
          </w:tcPr>
          <w:p w:rsidR="002619C5" w:rsidRDefault="008F5894">
            <w:pPr>
              <w:pStyle w:val="Normal1"/>
              <w:widowControl w:val="0"/>
              <w:pBdr>
                <w:top w:val="nil"/>
                <w:left w:val="nil"/>
                <w:bottom w:val="nil"/>
                <w:right w:val="nil"/>
                <w:between w:val="nil"/>
              </w:pBdr>
              <w:spacing w:after="0" w:line="240" w:lineRule="auto"/>
              <w:jc w:val="center"/>
            </w:pPr>
            <w:r>
              <w:t>Jabalí</w:t>
            </w:r>
          </w:p>
        </w:tc>
        <w:tc>
          <w:tcPr>
            <w:tcW w:w="1481" w:type="dxa"/>
            <w:tcBorders>
              <w:top w:val="single" w:sz="12" w:space="0" w:color="000000"/>
              <w:left w:val="single" w:sz="8" w:space="0" w:color="FFFFFF"/>
              <w:bottom w:val="single" w:sz="6" w:space="0" w:color="000000"/>
              <w:right w:val="single" w:sz="8" w:space="0" w:color="FFFFFF"/>
            </w:tcBorders>
            <w:shd w:val="clear" w:color="auto" w:fill="auto"/>
            <w:tcMar>
              <w:top w:w="100" w:type="dxa"/>
              <w:left w:w="100" w:type="dxa"/>
              <w:bottom w:w="100" w:type="dxa"/>
              <w:right w:w="100" w:type="dxa"/>
            </w:tcMar>
            <w:vAlign w:val="center"/>
          </w:tcPr>
          <w:p w:rsidR="002619C5" w:rsidRDefault="008F5894">
            <w:pPr>
              <w:pStyle w:val="Normal1"/>
              <w:widowControl w:val="0"/>
              <w:pBdr>
                <w:top w:val="nil"/>
                <w:left w:val="nil"/>
                <w:bottom w:val="nil"/>
                <w:right w:val="nil"/>
                <w:between w:val="nil"/>
              </w:pBdr>
              <w:spacing w:after="0" w:line="240" w:lineRule="auto"/>
              <w:jc w:val="center"/>
            </w:pPr>
            <w:r>
              <w:t>160</w:t>
            </w:r>
          </w:p>
        </w:tc>
        <w:tc>
          <w:tcPr>
            <w:tcW w:w="1350" w:type="dxa"/>
            <w:tcBorders>
              <w:top w:val="single" w:sz="12" w:space="0" w:color="000000"/>
              <w:left w:val="single" w:sz="8" w:space="0" w:color="FFFFFF"/>
              <w:bottom w:val="single" w:sz="6" w:space="0" w:color="000000"/>
              <w:right w:val="single" w:sz="8" w:space="0" w:color="FFFFFF"/>
            </w:tcBorders>
            <w:shd w:val="clear" w:color="auto" w:fill="auto"/>
            <w:tcMar>
              <w:top w:w="100" w:type="dxa"/>
              <w:left w:w="100" w:type="dxa"/>
              <w:bottom w:w="100" w:type="dxa"/>
              <w:right w:w="100" w:type="dxa"/>
            </w:tcMar>
            <w:vAlign w:val="center"/>
          </w:tcPr>
          <w:p w:rsidR="002619C5" w:rsidRDefault="008F5894">
            <w:pPr>
              <w:pStyle w:val="Normal1"/>
              <w:widowControl w:val="0"/>
              <w:pBdr>
                <w:top w:val="nil"/>
                <w:left w:val="nil"/>
                <w:bottom w:val="nil"/>
                <w:right w:val="nil"/>
                <w:between w:val="nil"/>
              </w:pBdr>
              <w:spacing w:after="0" w:line="240" w:lineRule="auto"/>
              <w:jc w:val="center"/>
            </w:pPr>
            <w:r>
              <w:t>2,8</w:t>
            </w:r>
          </w:p>
        </w:tc>
        <w:tc>
          <w:tcPr>
            <w:tcW w:w="1875" w:type="dxa"/>
            <w:tcBorders>
              <w:top w:val="single" w:sz="12" w:space="0" w:color="000000"/>
              <w:left w:val="single" w:sz="8" w:space="0" w:color="FFFFFF"/>
              <w:bottom w:val="single" w:sz="6" w:space="0" w:color="000000"/>
              <w:right w:val="single" w:sz="8" w:space="0" w:color="FFFFFF"/>
            </w:tcBorders>
            <w:shd w:val="clear" w:color="auto" w:fill="auto"/>
            <w:tcMar>
              <w:top w:w="100" w:type="dxa"/>
              <w:left w:w="100" w:type="dxa"/>
              <w:bottom w:w="100" w:type="dxa"/>
              <w:right w:w="100" w:type="dxa"/>
            </w:tcMar>
            <w:vAlign w:val="center"/>
          </w:tcPr>
          <w:p w:rsidR="002619C5" w:rsidRDefault="008F5894">
            <w:pPr>
              <w:pStyle w:val="Normal1"/>
              <w:widowControl w:val="0"/>
              <w:pBdr>
                <w:top w:val="nil"/>
                <w:left w:val="nil"/>
                <w:bottom w:val="nil"/>
                <w:right w:val="nil"/>
                <w:between w:val="nil"/>
              </w:pBdr>
              <w:spacing w:after="0" w:line="240" w:lineRule="auto"/>
              <w:jc w:val="center"/>
            </w:pPr>
            <w:r>
              <w:t>45</w:t>
            </w:r>
          </w:p>
        </w:tc>
        <w:tc>
          <w:tcPr>
            <w:tcW w:w="1650" w:type="dxa"/>
            <w:tcBorders>
              <w:top w:val="single" w:sz="12" w:space="0" w:color="000000"/>
              <w:left w:val="single" w:sz="8" w:space="0" w:color="FFFFFF"/>
              <w:bottom w:val="single" w:sz="6" w:space="0" w:color="000000"/>
              <w:right w:val="single" w:sz="8" w:space="0" w:color="FFFFFF"/>
            </w:tcBorders>
            <w:shd w:val="clear" w:color="auto" w:fill="auto"/>
            <w:tcMar>
              <w:top w:w="100" w:type="dxa"/>
              <w:left w:w="100" w:type="dxa"/>
              <w:bottom w:w="100" w:type="dxa"/>
              <w:right w:w="100" w:type="dxa"/>
            </w:tcMar>
            <w:vAlign w:val="center"/>
          </w:tcPr>
          <w:p w:rsidR="002619C5" w:rsidRDefault="008F5894">
            <w:pPr>
              <w:pStyle w:val="Normal1"/>
              <w:widowControl w:val="0"/>
              <w:pBdr>
                <w:top w:val="nil"/>
                <w:left w:val="nil"/>
                <w:bottom w:val="nil"/>
                <w:right w:val="nil"/>
                <w:between w:val="nil"/>
              </w:pBdr>
              <w:spacing w:after="0" w:line="240" w:lineRule="auto"/>
              <w:jc w:val="center"/>
            </w:pPr>
            <w:r>
              <w:t>22</w:t>
            </w:r>
          </w:p>
        </w:tc>
      </w:tr>
      <w:tr w:rsidR="002619C5">
        <w:trPr>
          <w:cantSplit/>
          <w:tblHeader/>
        </w:trPr>
        <w:tc>
          <w:tcPr>
            <w:tcW w:w="2643" w:type="dxa"/>
            <w:tcBorders>
              <w:top w:val="single" w:sz="6" w:space="0" w:color="000000"/>
              <w:left w:val="single" w:sz="6" w:space="0" w:color="FFFFFF"/>
              <w:bottom w:val="single" w:sz="6" w:space="0" w:color="000000"/>
              <w:right w:val="single" w:sz="6" w:space="0" w:color="FFFFFF"/>
            </w:tcBorders>
            <w:shd w:val="clear" w:color="auto" w:fill="auto"/>
            <w:tcMar>
              <w:top w:w="100" w:type="dxa"/>
              <w:left w:w="100" w:type="dxa"/>
              <w:bottom w:w="100" w:type="dxa"/>
              <w:right w:w="100" w:type="dxa"/>
            </w:tcMar>
            <w:vAlign w:val="center"/>
          </w:tcPr>
          <w:p w:rsidR="002619C5" w:rsidRDefault="008F5894">
            <w:pPr>
              <w:pStyle w:val="Normal1"/>
              <w:widowControl w:val="0"/>
              <w:pBdr>
                <w:top w:val="nil"/>
                <w:left w:val="nil"/>
                <w:bottom w:val="nil"/>
                <w:right w:val="nil"/>
                <w:between w:val="nil"/>
              </w:pBdr>
              <w:spacing w:after="0" w:line="240" w:lineRule="auto"/>
              <w:jc w:val="center"/>
            </w:pPr>
            <w:r>
              <w:t>Pechuga de pollo</w:t>
            </w:r>
          </w:p>
        </w:tc>
        <w:tc>
          <w:tcPr>
            <w:tcW w:w="1481" w:type="dxa"/>
            <w:tcBorders>
              <w:top w:val="single" w:sz="6" w:space="0" w:color="000000"/>
              <w:left w:val="single" w:sz="6" w:space="0" w:color="FFFFFF"/>
              <w:bottom w:val="single" w:sz="6" w:space="0" w:color="000000"/>
              <w:right w:val="single" w:sz="6" w:space="0" w:color="FFFFFF"/>
            </w:tcBorders>
            <w:shd w:val="clear" w:color="auto" w:fill="auto"/>
            <w:tcMar>
              <w:top w:w="100" w:type="dxa"/>
              <w:left w:w="100" w:type="dxa"/>
              <w:bottom w:w="100" w:type="dxa"/>
              <w:right w:w="100" w:type="dxa"/>
            </w:tcMar>
            <w:vAlign w:val="center"/>
          </w:tcPr>
          <w:p w:rsidR="002619C5" w:rsidRDefault="008F5894">
            <w:pPr>
              <w:pStyle w:val="Normal1"/>
              <w:widowControl w:val="0"/>
              <w:pBdr>
                <w:top w:val="nil"/>
                <w:left w:val="nil"/>
                <w:bottom w:val="nil"/>
                <w:right w:val="nil"/>
                <w:between w:val="nil"/>
              </w:pBdr>
              <w:spacing w:after="0" w:line="240" w:lineRule="auto"/>
              <w:jc w:val="center"/>
            </w:pPr>
            <w:r>
              <w:t>159</w:t>
            </w:r>
          </w:p>
        </w:tc>
        <w:tc>
          <w:tcPr>
            <w:tcW w:w="1350" w:type="dxa"/>
            <w:tcBorders>
              <w:top w:val="single" w:sz="6" w:space="0" w:color="000000"/>
              <w:left w:val="single" w:sz="6" w:space="0" w:color="FFFFFF"/>
              <w:bottom w:val="single" w:sz="6" w:space="0" w:color="000000"/>
              <w:right w:val="single" w:sz="6" w:space="0" w:color="FFFFFF"/>
            </w:tcBorders>
            <w:shd w:val="clear" w:color="auto" w:fill="auto"/>
            <w:tcMar>
              <w:top w:w="100" w:type="dxa"/>
              <w:left w:w="100" w:type="dxa"/>
              <w:bottom w:w="100" w:type="dxa"/>
              <w:right w:w="100" w:type="dxa"/>
            </w:tcMar>
            <w:vAlign w:val="center"/>
          </w:tcPr>
          <w:p w:rsidR="002619C5" w:rsidRDefault="008F5894">
            <w:pPr>
              <w:pStyle w:val="Normal1"/>
              <w:widowControl w:val="0"/>
              <w:pBdr>
                <w:top w:val="nil"/>
                <w:left w:val="nil"/>
                <w:bottom w:val="nil"/>
                <w:right w:val="nil"/>
                <w:between w:val="nil"/>
              </w:pBdr>
              <w:spacing w:after="0" w:line="240" w:lineRule="auto"/>
              <w:jc w:val="center"/>
            </w:pPr>
            <w:r>
              <w:t>3,42</w:t>
            </w:r>
          </w:p>
        </w:tc>
        <w:tc>
          <w:tcPr>
            <w:tcW w:w="1875" w:type="dxa"/>
            <w:tcBorders>
              <w:top w:val="single" w:sz="6" w:space="0" w:color="000000"/>
              <w:left w:val="single" w:sz="6" w:space="0" w:color="FFFFFF"/>
              <w:bottom w:val="single" w:sz="6" w:space="0" w:color="000000"/>
              <w:right w:val="single" w:sz="6" w:space="0" w:color="FFFFFF"/>
            </w:tcBorders>
            <w:shd w:val="clear" w:color="auto" w:fill="auto"/>
            <w:tcMar>
              <w:top w:w="100" w:type="dxa"/>
              <w:left w:w="100" w:type="dxa"/>
              <w:bottom w:w="100" w:type="dxa"/>
              <w:right w:w="100" w:type="dxa"/>
            </w:tcMar>
            <w:vAlign w:val="center"/>
          </w:tcPr>
          <w:p w:rsidR="002619C5" w:rsidRDefault="008F5894">
            <w:pPr>
              <w:pStyle w:val="Normal1"/>
              <w:widowControl w:val="0"/>
              <w:pBdr>
                <w:top w:val="nil"/>
                <w:left w:val="nil"/>
                <w:bottom w:val="nil"/>
                <w:right w:val="nil"/>
                <w:between w:val="nil"/>
              </w:pBdr>
              <w:spacing w:after="0" w:line="240" w:lineRule="auto"/>
              <w:jc w:val="center"/>
            </w:pPr>
            <w:r>
              <w:t>83</w:t>
            </w:r>
          </w:p>
        </w:tc>
        <w:tc>
          <w:tcPr>
            <w:tcW w:w="1650" w:type="dxa"/>
            <w:tcBorders>
              <w:top w:val="single" w:sz="6" w:space="0" w:color="000000"/>
              <w:left w:val="single" w:sz="6" w:space="0" w:color="FFFFFF"/>
              <w:bottom w:val="single" w:sz="6" w:space="0" w:color="000000"/>
              <w:right w:val="single" w:sz="6" w:space="0" w:color="FFFFFF"/>
            </w:tcBorders>
            <w:shd w:val="clear" w:color="auto" w:fill="auto"/>
            <w:tcMar>
              <w:top w:w="100" w:type="dxa"/>
              <w:left w:w="100" w:type="dxa"/>
              <w:bottom w:w="100" w:type="dxa"/>
              <w:right w:w="100" w:type="dxa"/>
            </w:tcMar>
            <w:vAlign w:val="center"/>
          </w:tcPr>
          <w:p w:rsidR="002619C5" w:rsidRDefault="008F5894">
            <w:pPr>
              <w:pStyle w:val="Normal1"/>
              <w:widowControl w:val="0"/>
              <w:pBdr>
                <w:top w:val="nil"/>
                <w:left w:val="nil"/>
                <w:bottom w:val="nil"/>
                <w:right w:val="nil"/>
                <w:between w:val="nil"/>
              </w:pBdr>
              <w:spacing w:after="0" w:line="240" w:lineRule="auto"/>
              <w:jc w:val="center"/>
            </w:pPr>
            <w:r>
              <w:t>31</w:t>
            </w:r>
          </w:p>
        </w:tc>
      </w:tr>
      <w:tr w:rsidR="002619C5">
        <w:trPr>
          <w:cantSplit/>
          <w:tblHeader/>
        </w:trPr>
        <w:tc>
          <w:tcPr>
            <w:tcW w:w="2643" w:type="dxa"/>
            <w:tcBorders>
              <w:top w:val="single" w:sz="6" w:space="0" w:color="000000"/>
              <w:left w:val="single" w:sz="6" w:space="0" w:color="FFFFFF"/>
              <w:bottom w:val="single" w:sz="6" w:space="0" w:color="000000"/>
              <w:right w:val="single" w:sz="6" w:space="0" w:color="FFFFFF"/>
            </w:tcBorders>
            <w:shd w:val="clear" w:color="auto" w:fill="auto"/>
            <w:tcMar>
              <w:top w:w="100" w:type="dxa"/>
              <w:left w:w="100" w:type="dxa"/>
              <w:bottom w:w="100" w:type="dxa"/>
              <w:right w:w="100" w:type="dxa"/>
            </w:tcMar>
            <w:vAlign w:val="center"/>
          </w:tcPr>
          <w:p w:rsidR="002619C5" w:rsidRDefault="008F5894">
            <w:pPr>
              <w:pStyle w:val="Normal1"/>
              <w:widowControl w:val="0"/>
              <w:pBdr>
                <w:top w:val="nil"/>
                <w:left w:val="nil"/>
                <w:bottom w:val="nil"/>
                <w:right w:val="nil"/>
                <w:between w:val="nil"/>
              </w:pBdr>
              <w:spacing w:after="0" w:line="240" w:lineRule="auto"/>
              <w:jc w:val="center"/>
            </w:pPr>
            <w:r>
              <w:t>Carne blanca de pavo</w:t>
            </w:r>
          </w:p>
        </w:tc>
        <w:tc>
          <w:tcPr>
            <w:tcW w:w="1481" w:type="dxa"/>
            <w:tcBorders>
              <w:top w:val="single" w:sz="6" w:space="0" w:color="000000"/>
              <w:left w:val="single" w:sz="6" w:space="0" w:color="FFFFFF"/>
              <w:bottom w:val="single" w:sz="6" w:space="0" w:color="000000"/>
              <w:right w:val="single" w:sz="6" w:space="0" w:color="FFFFFF"/>
            </w:tcBorders>
            <w:shd w:val="clear" w:color="auto" w:fill="auto"/>
            <w:tcMar>
              <w:top w:w="100" w:type="dxa"/>
              <w:left w:w="100" w:type="dxa"/>
              <w:bottom w:w="100" w:type="dxa"/>
              <w:right w:w="100" w:type="dxa"/>
            </w:tcMar>
            <w:vAlign w:val="center"/>
          </w:tcPr>
          <w:p w:rsidR="002619C5" w:rsidRDefault="008F5894">
            <w:pPr>
              <w:pStyle w:val="Normal1"/>
              <w:widowControl w:val="0"/>
              <w:pBdr>
                <w:top w:val="nil"/>
                <w:left w:val="nil"/>
                <w:bottom w:val="nil"/>
                <w:right w:val="nil"/>
                <w:between w:val="nil"/>
              </w:pBdr>
              <w:spacing w:after="0" w:line="240" w:lineRule="auto"/>
              <w:jc w:val="center"/>
            </w:pPr>
            <w:r>
              <w:t>154</w:t>
            </w:r>
          </w:p>
        </w:tc>
        <w:tc>
          <w:tcPr>
            <w:tcW w:w="1350" w:type="dxa"/>
            <w:tcBorders>
              <w:top w:val="single" w:sz="6" w:space="0" w:color="000000"/>
              <w:left w:val="single" w:sz="6" w:space="0" w:color="FFFFFF"/>
              <w:bottom w:val="single" w:sz="6" w:space="0" w:color="000000"/>
              <w:right w:val="single" w:sz="6" w:space="0" w:color="FFFFFF"/>
            </w:tcBorders>
            <w:shd w:val="clear" w:color="auto" w:fill="auto"/>
            <w:tcMar>
              <w:top w:w="100" w:type="dxa"/>
              <w:left w:w="100" w:type="dxa"/>
              <w:bottom w:w="100" w:type="dxa"/>
              <w:right w:w="100" w:type="dxa"/>
            </w:tcMar>
            <w:vAlign w:val="center"/>
          </w:tcPr>
          <w:p w:rsidR="002619C5" w:rsidRDefault="008F5894">
            <w:pPr>
              <w:pStyle w:val="Normal1"/>
              <w:widowControl w:val="0"/>
              <w:pBdr>
                <w:top w:val="nil"/>
                <w:left w:val="nil"/>
                <w:bottom w:val="nil"/>
                <w:right w:val="nil"/>
                <w:between w:val="nil"/>
              </w:pBdr>
              <w:spacing w:after="0" w:line="240" w:lineRule="auto"/>
              <w:jc w:val="center"/>
            </w:pPr>
            <w:r>
              <w:t>3,45</w:t>
            </w:r>
          </w:p>
        </w:tc>
        <w:tc>
          <w:tcPr>
            <w:tcW w:w="1875" w:type="dxa"/>
            <w:tcBorders>
              <w:top w:val="single" w:sz="6" w:space="0" w:color="000000"/>
              <w:left w:val="single" w:sz="6" w:space="0" w:color="FFFFFF"/>
              <w:bottom w:val="single" w:sz="6" w:space="0" w:color="000000"/>
              <w:right w:val="single" w:sz="6" w:space="0" w:color="FFFFFF"/>
            </w:tcBorders>
            <w:shd w:val="clear" w:color="auto" w:fill="auto"/>
            <w:tcMar>
              <w:top w:w="100" w:type="dxa"/>
              <w:left w:w="100" w:type="dxa"/>
              <w:bottom w:w="100" w:type="dxa"/>
              <w:right w:w="100" w:type="dxa"/>
            </w:tcMar>
            <w:vAlign w:val="center"/>
          </w:tcPr>
          <w:p w:rsidR="002619C5" w:rsidRDefault="008F5894">
            <w:pPr>
              <w:pStyle w:val="Normal1"/>
              <w:widowControl w:val="0"/>
              <w:pBdr>
                <w:top w:val="nil"/>
                <w:left w:val="nil"/>
                <w:bottom w:val="nil"/>
                <w:right w:val="nil"/>
                <w:between w:val="nil"/>
              </w:pBdr>
              <w:spacing w:after="0" w:line="240" w:lineRule="auto"/>
              <w:jc w:val="center"/>
            </w:pPr>
            <w:r>
              <w:t>68</w:t>
            </w:r>
          </w:p>
        </w:tc>
        <w:tc>
          <w:tcPr>
            <w:tcW w:w="1650" w:type="dxa"/>
            <w:tcBorders>
              <w:top w:val="single" w:sz="6" w:space="0" w:color="000000"/>
              <w:left w:val="single" w:sz="6" w:space="0" w:color="FFFFFF"/>
              <w:bottom w:val="single" w:sz="6" w:space="0" w:color="000000"/>
              <w:right w:val="single" w:sz="6" w:space="0" w:color="FFFFFF"/>
            </w:tcBorders>
            <w:shd w:val="clear" w:color="auto" w:fill="auto"/>
            <w:tcMar>
              <w:top w:w="100" w:type="dxa"/>
              <w:left w:w="100" w:type="dxa"/>
              <w:bottom w:w="100" w:type="dxa"/>
              <w:right w:w="100" w:type="dxa"/>
            </w:tcMar>
            <w:vAlign w:val="center"/>
          </w:tcPr>
          <w:p w:rsidR="002619C5" w:rsidRDefault="008F5894">
            <w:pPr>
              <w:pStyle w:val="Normal1"/>
              <w:widowControl w:val="0"/>
              <w:pBdr>
                <w:top w:val="nil"/>
                <w:left w:val="nil"/>
                <w:bottom w:val="nil"/>
                <w:right w:val="nil"/>
                <w:between w:val="nil"/>
              </w:pBdr>
              <w:spacing w:after="0" w:line="240" w:lineRule="auto"/>
              <w:jc w:val="center"/>
            </w:pPr>
            <w:r>
              <w:t>29</w:t>
            </w:r>
          </w:p>
        </w:tc>
      </w:tr>
      <w:tr w:rsidR="002619C5">
        <w:trPr>
          <w:cantSplit/>
          <w:tblHeader/>
        </w:trPr>
        <w:tc>
          <w:tcPr>
            <w:tcW w:w="2643" w:type="dxa"/>
            <w:tcBorders>
              <w:top w:val="single" w:sz="6" w:space="0" w:color="000000"/>
              <w:left w:val="single" w:sz="6" w:space="0" w:color="FFFFFF"/>
              <w:bottom w:val="single" w:sz="6" w:space="0" w:color="000000"/>
              <w:right w:val="single" w:sz="6" w:space="0" w:color="FFFFFF"/>
            </w:tcBorders>
            <w:shd w:val="clear" w:color="auto" w:fill="auto"/>
            <w:tcMar>
              <w:top w:w="100" w:type="dxa"/>
              <w:left w:w="100" w:type="dxa"/>
              <w:bottom w:w="100" w:type="dxa"/>
              <w:right w:w="100" w:type="dxa"/>
            </w:tcMar>
            <w:vAlign w:val="center"/>
          </w:tcPr>
          <w:p w:rsidR="002619C5" w:rsidRDefault="008F5894">
            <w:pPr>
              <w:pStyle w:val="Normal1"/>
              <w:widowControl w:val="0"/>
              <w:pBdr>
                <w:top w:val="nil"/>
                <w:left w:val="nil"/>
                <w:bottom w:val="nil"/>
                <w:right w:val="nil"/>
                <w:between w:val="nil"/>
              </w:pBdr>
              <w:spacing w:after="0" w:line="240" w:lineRule="auto"/>
              <w:jc w:val="center"/>
            </w:pPr>
            <w:r>
              <w:t>Salmón</w:t>
            </w:r>
          </w:p>
        </w:tc>
        <w:tc>
          <w:tcPr>
            <w:tcW w:w="1481" w:type="dxa"/>
            <w:tcBorders>
              <w:top w:val="single" w:sz="6" w:space="0" w:color="000000"/>
              <w:left w:val="single" w:sz="6" w:space="0" w:color="FFFFFF"/>
              <w:bottom w:val="single" w:sz="6" w:space="0" w:color="000000"/>
              <w:right w:val="single" w:sz="6" w:space="0" w:color="FFFFFF"/>
            </w:tcBorders>
            <w:shd w:val="clear" w:color="auto" w:fill="auto"/>
            <w:tcMar>
              <w:top w:w="100" w:type="dxa"/>
              <w:left w:w="100" w:type="dxa"/>
              <w:bottom w:w="100" w:type="dxa"/>
              <w:right w:w="100" w:type="dxa"/>
            </w:tcMar>
            <w:vAlign w:val="center"/>
          </w:tcPr>
          <w:p w:rsidR="002619C5" w:rsidRDefault="008F5894">
            <w:pPr>
              <w:pStyle w:val="Normal1"/>
              <w:widowControl w:val="0"/>
              <w:pBdr>
                <w:top w:val="nil"/>
                <w:left w:val="nil"/>
                <w:bottom w:val="nil"/>
                <w:right w:val="nil"/>
                <w:between w:val="nil"/>
              </w:pBdr>
              <w:spacing w:after="0" w:line="240" w:lineRule="auto"/>
              <w:jc w:val="center"/>
            </w:pPr>
            <w:r>
              <w:t>138</w:t>
            </w:r>
          </w:p>
        </w:tc>
        <w:tc>
          <w:tcPr>
            <w:tcW w:w="1350" w:type="dxa"/>
            <w:tcBorders>
              <w:top w:val="single" w:sz="6" w:space="0" w:color="000000"/>
              <w:left w:val="single" w:sz="6" w:space="0" w:color="FFFFFF"/>
              <w:bottom w:val="single" w:sz="6" w:space="0" w:color="000000"/>
              <w:right w:val="single" w:sz="6" w:space="0" w:color="FFFFFF"/>
            </w:tcBorders>
            <w:shd w:val="clear" w:color="auto" w:fill="auto"/>
            <w:tcMar>
              <w:top w:w="100" w:type="dxa"/>
              <w:left w:w="100" w:type="dxa"/>
              <w:bottom w:w="100" w:type="dxa"/>
              <w:right w:w="100" w:type="dxa"/>
            </w:tcMar>
            <w:vAlign w:val="center"/>
          </w:tcPr>
          <w:p w:rsidR="002619C5" w:rsidRDefault="008F5894">
            <w:pPr>
              <w:pStyle w:val="Normal1"/>
              <w:widowControl w:val="0"/>
              <w:pBdr>
                <w:top w:val="nil"/>
                <w:left w:val="nil"/>
                <w:bottom w:val="nil"/>
                <w:right w:val="nil"/>
                <w:between w:val="nil"/>
              </w:pBdr>
              <w:spacing w:after="0" w:line="240" w:lineRule="auto"/>
              <w:jc w:val="center"/>
            </w:pPr>
            <w:r>
              <w:t>5,75</w:t>
            </w:r>
          </w:p>
        </w:tc>
        <w:tc>
          <w:tcPr>
            <w:tcW w:w="1875" w:type="dxa"/>
            <w:tcBorders>
              <w:top w:val="single" w:sz="6" w:space="0" w:color="000000"/>
              <w:left w:val="single" w:sz="6" w:space="0" w:color="FFFFFF"/>
              <w:bottom w:val="single" w:sz="6" w:space="0" w:color="000000"/>
              <w:right w:val="single" w:sz="6" w:space="0" w:color="FFFFFF"/>
            </w:tcBorders>
            <w:shd w:val="clear" w:color="auto" w:fill="auto"/>
            <w:tcMar>
              <w:top w:w="100" w:type="dxa"/>
              <w:left w:w="100" w:type="dxa"/>
              <w:bottom w:w="100" w:type="dxa"/>
              <w:right w:w="100" w:type="dxa"/>
            </w:tcMar>
            <w:vAlign w:val="center"/>
          </w:tcPr>
          <w:p w:rsidR="002619C5" w:rsidRDefault="008F5894">
            <w:pPr>
              <w:pStyle w:val="Normal1"/>
              <w:widowControl w:val="0"/>
              <w:pBdr>
                <w:top w:val="nil"/>
                <w:left w:val="nil"/>
                <w:bottom w:val="nil"/>
                <w:right w:val="nil"/>
                <w:between w:val="nil"/>
              </w:pBdr>
              <w:spacing w:after="0" w:line="240" w:lineRule="auto"/>
              <w:jc w:val="center"/>
            </w:pPr>
            <w:r>
              <w:t>39</w:t>
            </w:r>
          </w:p>
        </w:tc>
        <w:tc>
          <w:tcPr>
            <w:tcW w:w="1650" w:type="dxa"/>
            <w:tcBorders>
              <w:top w:val="single" w:sz="6" w:space="0" w:color="000000"/>
              <w:left w:val="single" w:sz="6" w:space="0" w:color="FFFFFF"/>
              <w:bottom w:val="single" w:sz="6" w:space="0" w:color="000000"/>
              <w:right w:val="single" w:sz="6" w:space="0" w:color="FFFFFF"/>
            </w:tcBorders>
            <w:shd w:val="clear" w:color="auto" w:fill="auto"/>
            <w:tcMar>
              <w:top w:w="100" w:type="dxa"/>
              <w:left w:w="100" w:type="dxa"/>
              <w:bottom w:w="100" w:type="dxa"/>
              <w:right w:w="100" w:type="dxa"/>
            </w:tcMar>
            <w:vAlign w:val="center"/>
          </w:tcPr>
          <w:p w:rsidR="002619C5" w:rsidRDefault="008F5894">
            <w:pPr>
              <w:pStyle w:val="Normal1"/>
              <w:widowControl w:val="0"/>
              <w:pBdr>
                <w:top w:val="nil"/>
                <w:left w:val="nil"/>
                <w:bottom w:val="nil"/>
                <w:right w:val="nil"/>
                <w:between w:val="nil"/>
              </w:pBdr>
              <w:spacing w:after="0" w:line="240" w:lineRule="auto"/>
              <w:jc w:val="center"/>
            </w:pPr>
            <w:r>
              <w:t>20</w:t>
            </w:r>
          </w:p>
        </w:tc>
      </w:tr>
      <w:tr w:rsidR="002619C5">
        <w:trPr>
          <w:cantSplit/>
          <w:trHeight w:val="689"/>
          <w:tblHeader/>
        </w:trPr>
        <w:tc>
          <w:tcPr>
            <w:tcW w:w="2643" w:type="dxa"/>
            <w:tcBorders>
              <w:top w:val="single" w:sz="6" w:space="0" w:color="000000"/>
              <w:left w:val="single" w:sz="6" w:space="0" w:color="FFFFFF"/>
              <w:bottom w:val="single" w:sz="6" w:space="0" w:color="000000"/>
              <w:right w:val="single" w:sz="6" w:space="0" w:color="FFFFFF"/>
            </w:tcBorders>
            <w:shd w:val="clear" w:color="auto" w:fill="auto"/>
            <w:tcMar>
              <w:top w:w="100" w:type="dxa"/>
              <w:left w:w="100" w:type="dxa"/>
              <w:bottom w:w="100" w:type="dxa"/>
              <w:right w:w="100" w:type="dxa"/>
            </w:tcMar>
            <w:vAlign w:val="center"/>
          </w:tcPr>
          <w:p w:rsidR="002619C5" w:rsidRDefault="008F5894">
            <w:pPr>
              <w:pStyle w:val="Normal1"/>
              <w:widowControl w:val="0"/>
              <w:pBdr>
                <w:top w:val="nil"/>
                <w:left w:val="nil"/>
                <w:bottom w:val="nil"/>
                <w:right w:val="nil"/>
                <w:between w:val="nil"/>
              </w:pBdr>
              <w:spacing w:after="0" w:line="240" w:lineRule="auto"/>
              <w:jc w:val="center"/>
            </w:pPr>
            <w:r>
              <w:t>Pierna de cordero magra</w:t>
            </w:r>
          </w:p>
        </w:tc>
        <w:tc>
          <w:tcPr>
            <w:tcW w:w="1481" w:type="dxa"/>
            <w:tcBorders>
              <w:top w:val="single" w:sz="6" w:space="0" w:color="000000"/>
              <w:left w:val="single" w:sz="6" w:space="0" w:color="FFFFFF"/>
              <w:bottom w:val="single" w:sz="6" w:space="0" w:color="000000"/>
              <w:right w:val="single" w:sz="6" w:space="0" w:color="FFFFFF"/>
            </w:tcBorders>
            <w:shd w:val="clear" w:color="auto" w:fill="auto"/>
            <w:tcMar>
              <w:top w:w="100" w:type="dxa"/>
              <w:left w:w="100" w:type="dxa"/>
              <w:bottom w:w="100" w:type="dxa"/>
              <w:right w:w="100" w:type="dxa"/>
            </w:tcMar>
            <w:vAlign w:val="center"/>
          </w:tcPr>
          <w:p w:rsidR="002619C5" w:rsidRDefault="008F5894">
            <w:pPr>
              <w:pStyle w:val="Normal1"/>
              <w:widowControl w:val="0"/>
              <w:pBdr>
                <w:top w:val="nil"/>
                <w:left w:val="nil"/>
                <w:bottom w:val="nil"/>
                <w:right w:val="nil"/>
                <w:between w:val="nil"/>
              </w:pBdr>
              <w:spacing w:after="0" w:line="240" w:lineRule="auto"/>
              <w:jc w:val="center"/>
            </w:pPr>
            <w:r>
              <w:t>178</w:t>
            </w:r>
          </w:p>
        </w:tc>
        <w:tc>
          <w:tcPr>
            <w:tcW w:w="1350" w:type="dxa"/>
            <w:tcBorders>
              <w:top w:val="single" w:sz="6" w:space="0" w:color="000000"/>
              <w:left w:val="single" w:sz="6" w:space="0" w:color="FFFFFF"/>
              <w:bottom w:val="single" w:sz="6" w:space="0" w:color="000000"/>
              <w:right w:val="single" w:sz="6" w:space="0" w:color="FFFFFF"/>
            </w:tcBorders>
            <w:shd w:val="clear" w:color="auto" w:fill="auto"/>
            <w:tcMar>
              <w:top w:w="100" w:type="dxa"/>
              <w:left w:w="100" w:type="dxa"/>
              <w:bottom w:w="100" w:type="dxa"/>
              <w:right w:w="100" w:type="dxa"/>
            </w:tcMar>
            <w:vAlign w:val="center"/>
          </w:tcPr>
          <w:p w:rsidR="002619C5" w:rsidRDefault="008F5894">
            <w:pPr>
              <w:pStyle w:val="Normal1"/>
              <w:widowControl w:val="0"/>
              <w:pBdr>
                <w:top w:val="nil"/>
                <w:left w:val="nil"/>
                <w:bottom w:val="nil"/>
                <w:right w:val="nil"/>
                <w:between w:val="nil"/>
              </w:pBdr>
              <w:spacing w:after="0" w:line="240" w:lineRule="auto"/>
              <w:jc w:val="center"/>
            </w:pPr>
            <w:r>
              <w:t>7,62</w:t>
            </w:r>
          </w:p>
        </w:tc>
        <w:tc>
          <w:tcPr>
            <w:tcW w:w="1875" w:type="dxa"/>
            <w:tcBorders>
              <w:top w:val="single" w:sz="6" w:space="0" w:color="000000"/>
              <w:left w:val="single" w:sz="6" w:space="0" w:color="FFFFFF"/>
              <w:bottom w:val="single" w:sz="6" w:space="0" w:color="000000"/>
              <w:right w:val="single" w:sz="6" w:space="0" w:color="FFFFFF"/>
            </w:tcBorders>
            <w:shd w:val="clear" w:color="auto" w:fill="auto"/>
            <w:tcMar>
              <w:top w:w="100" w:type="dxa"/>
              <w:left w:w="100" w:type="dxa"/>
              <w:bottom w:w="100" w:type="dxa"/>
              <w:right w:w="100" w:type="dxa"/>
            </w:tcMar>
            <w:vAlign w:val="center"/>
          </w:tcPr>
          <w:p w:rsidR="002619C5" w:rsidRDefault="008F5894">
            <w:pPr>
              <w:pStyle w:val="Normal1"/>
              <w:widowControl w:val="0"/>
              <w:pBdr>
                <w:top w:val="nil"/>
                <w:left w:val="nil"/>
                <w:bottom w:val="nil"/>
                <w:right w:val="nil"/>
                <w:between w:val="nil"/>
              </w:pBdr>
              <w:spacing w:after="0" w:line="240" w:lineRule="auto"/>
              <w:jc w:val="center"/>
            </w:pPr>
            <w:r>
              <w:t>83</w:t>
            </w:r>
          </w:p>
        </w:tc>
        <w:tc>
          <w:tcPr>
            <w:tcW w:w="1650" w:type="dxa"/>
            <w:tcBorders>
              <w:top w:val="single" w:sz="6" w:space="0" w:color="000000"/>
              <w:left w:val="single" w:sz="6" w:space="0" w:color="FFFFFF"/>
              <w:bottom w:val="single" w:sz="6" w:space="0" w:color="000000"/>
              <w:right w:val="single" w:sz="6" w:space="0" w:color="FFFFFF"/>
            </w:tcBorders>
            <w:shd w:val="clear" w:color="auto" w:fill="auto"/>
            <w:tcMar>
              <w:top w:w="100" w:type="dxa"/>
              <w:left w:w="100" w:type="dxa"/>
              <w:bottom w:w="100" w:type="dxa"/>
              <w:right w:w="100" w:type="dxa"/>
            </w:tcMar>
            <w:vAlign w:val="center"/>
          </w:tcPr>
          <w:p w:rsidR="002619C5" w:rsidRDefault="008F5894">
            <w:pPr>
              <w:pStyle w:val="Normal1"/>
              <w:widowControl w:val="0"/>
              <w:pBdr>
                <w:top w:val="nil"/>
                <w:left w:val="nil"/>
                <w:bottom w:val="nil"/>
                <w:right w:val="nil"/>
                <w:between w:val="nil"/>
              </w:pBdr>
              <w:spacing w:after="0" w:line="240" w:lineRule="auto"/>
              <w:jc w:val="center"/>
            </w:pPr>
            <w:r>
              <w:t>25</w:t>
            </w:r>
          </w:p>
        </w:tc>
      </w:tr>
      <w:tr w:rsidR="002619C5">
        <w:trPr>
          <w:cantSplit/>
          <w:tblHeader/>
        </w:trPr>
        <w:tc>
          <w:tcPr>
            <w:tcW w:w="2643" w:type="dxa"/>
            <w:tcBorders>
              <w:top w:val="single" w:sz="6" w:space="0" w:color="000000"/>
              <w:left w:val="single" w:sz="6" w:space="0" w:color="FFFFFF"/>
              <w:bottom w:val="single" w:sz="6" w:space="0" w:color="000000"/>
              <w:right w:val="single" w:sz="6" w:space="0" w:color="FFFFFF"/>
            </w:tcBorders>
            <w:shd w:val="clear" w:color="auto" w:fill="auto"/>
            <w:tcMar>
              <w:top w:w="100" w:type="dxa"/>
              <w:left w:w="100" w:type="dxa"/>
              <w:bottom w:w="100" w:type="dxa"/>
              <w:right w:w="100" w:type="dxa"/>
            </w:tcMar>
            <w:vAlign w:val="center"/>
          </w:tcPr>
          <w:p w:rsidR="002619C5" w:rsidRDefault="008F5894">
            <w:pPr>
              <w:pStyle w:val="Normal1"/>
              <w:widowControl w:val="0"/>
              <w:pBdr>
                <w:top w:val="nil"/>
                <w:left w:val="nil"/>
                <w:bottom w:val="nil"/>
                <w:right w:val="nil"/>
                <w:between w:val="nil"/>
              </w:pBdr>
              <w:spacing w:after="0" w:line="240" w:lineRule="auto"/>
              <w:jc w:val="center"/>
            </w:pPr>
            <w:r>
              <w:t>Posta de vacuno magra</w:t>
            </w:r>
          </w:p>
        </w:tc>
        <w:tc>
          <w:tcPr>
            <w:tcW w:w="1481" w:type="dxa"/>
            <w:tcBorders>
              <w:top w:val="single" w:sz="6" w:space="0" w:color="000000"/>
              <w:left w:val="single" w:sz="6" w:space="0" w:color="FFFFFF"/>
              <w:bottom w:val="single" w:sz="6" w:space="0" w:color="000000"/>
              <w:right w:val="single" w:sz="6" w:space="0" w:color="FFFFFF"/>
            </w:tcBorders>
            <w:shd w:val="clear" w:color="auto" w:fill="auto"/>
            <w:tcMar>
              <w:top w:w="100" w:type="dxa"/>
              <w:left w:w="100" w:type="dxa"/>
              <w:bottom w:w="100" w:type="dxa"/>
              <w:right w:w="100" w:type="dxa"/>
            </w:tcMar>
            <w:vAlign w:val="center"/>
          </w:tcPr>
          <w:p w:rsidR="002619C5" w:rsidRDefault="008F5894">
            <w:pPr>
              <w:pStyle w:val="Normal1"/>
              <w:widowControl w:val="0"/>
              <w:pBdr>
                <w:top w:val="nil"/>
                <w:left w:val="nil"/>
                <w:bottom w:val="nil"/>
                <w:right w:val="nil"/>
                <w:between w:val="nil"/>
              </w:pBdr>
              <w:spacing w:after="0" w:line="240" w:lineRule="auto"/>
              <w:jc w:val="center"/>
            </w:pPr>
            <w:r>
              <w:t>214</w:t>
            </w:r>
          </w:p>
        </w:tc>
        <w:tc>
          <w:tcPr>
            <w:tcW w:w="1350" w:type="dxa"/>
            <w:tcBorders>
              <w:top w:val="single" w:sz="6" w:space="0" w:color="000000"/>
              <w:left w:val="single" w:sz="6" w:space="0" w:color="FFFFFF"/>
              <w:bottom w:val="single" w:sz="6" w:space="0" w:color="000000"/>
              <w:right w:val="single" w:sz="6" w:space="0" w:color="FFFFFF"/>
            </w:tcBorders>
            <w:shd w:val="clear" w:color="auto" w:fill="auto"/>
            <w:tcMar>
              <w:top w:w="100" w:type="dxa"/>
              <w:left w:w="100" w:type="dxa"/>
              <w:bottom w:w="100" w:type="dxa"/>
              <w:right w:w="100" w:type="dxa"/>
            </w:tcMar>
            <w:vAlign w:val="center"/>
          </w:tcPr>
          <w:p w:rsidR="002619C5" w:rsidRDefault="008F5894">
            <w:pPr>
              <w:pStyle w:val="Normal1"/>
              <w:widowControl w:val="0"/>
              <w:pBdr>
                <w:top w:val="nil"/>
                <w:left w:val="nil"/>
                <w:bottom w:val="nil"/>
                <w:right w:val="nil"/>
                <w:between w:val="nil"/>
              </w:pBdr>
              <w:spacing w:after="0" w:line="240" w:lineRule="auto"/>
              <w:jc w:val="center"/>
            </w:pPr>
            <w:r>
              <w:t>9,76</w:t>
            </w:r>
          </w:p>
        </w:tc>
        <w:tc>
          <w:tcPr>
            <w:tcW w:w="1875" w:type="dxa"/>
            <w:tcBorders>
              <w:top w:val="single" w:sz="6" w:space="0" w:color="000000"/>
              <w:left w:val="single" w:sz="6" w:space="0" w:color="FFFFFF"/>
              <w:bottom w:val="single" w:sz="6" w:space="0" w:color="000000"/>
              <w:right w:val="single" w:sz="6" w:space="0" w:color="FFFFFF"/>
            </w:tcBorders>
            <w:shd w:val="clear" w:color="auto" w:fill="auto"/>
            <w:tcMar>
              <w:top w:w="100" w:type="dxa"/>
              <w:left w:w="100" w:type="dxa"/>
              <w:bottom w:w="100" w:type="dxa"/>
              <w:right w:w="100" w:type="dxa"/>
            </w:tcMar>
            <w:vAlign w:val="center"/>
          </w:tcPr>
          <w:p w:rsidR="002619C5" w:rsidRDefault="008F5894">
            <w:pPr>
              <w:pStyle w:val="Normal1"/>
              <w:widowControl w:val="0"/>
              <w:pBdr>
                <w:top w:val="nil"/>
                <w:left w:val="nil"/>
                <w:bottom w:val="nil"/>
                <w:right w:val="nil"/>
                <w:between w:val="nil"/>
              </w:pBdr>
              <w:spacing w:after="0" w:line="240" w:lineRule="auto"/>
              <w:jc w:val="center"/>
            </w:pPr>
            <w:r>
              <w:t>92</w:t>
            </w:r>
          </w:p>
        </w:tc>
        <w:tc>
          <w:tcPr>
            <w:tcW w:w="1650" w:type="dxa"/>
            <w:tcBorders>
              <w:top w:val="single" w:sz="6" w:space="0" w:color="000000"/>
              <w:left w:val="single" w:sz="6" w:space="0" w:color="FFFFFF"/>
              <w:bottom w:val="single" w:sz="6" w:space="0" w:color="000000"/>
              <w:right w:val="single" w:sz="6" w:space="0" w:color="FFFFFF"/>
            </w:tcBorders>
            <w:shd w:val="clear" w:color="auto" w:fill="auto"/>
            <w:tcMar>
              <w:top w:w="100" w:type="dxa"/>
              <w:left w:w="100" w:type="dxa"/>
              <w:bottom w:w="100" w:type="dxa"/>
              <w:right w:w="100" w:type="dxa"/>
            </w:tcMar>
            <w:vAlign w:val="center"/>
          </w:tcPr>
          <w:p w:rsidR="002619C5" w:rsidRDefault="008F5894">
            <w:pPr>
              <w:pStyle w:val="Normal1"/>
              <w:widowControl w:val="0"/>
              <w:pBdr>
                <w:top w:val="nil"/>
                <w:left w:val="nil"/>
                <w:bottom w:val="nil"/>
                <w:right w:val="nil"/>
                <w:between w:val="nil"/>
              </w:pBdr>
              <w:spacing w:after="0" w:line="240" w:lineRule="auto"/>
              <w:jc w:val="center"/>
            </w:pPr>
            <w:r>
              <w:t>31</w:t>
            </w:r>
          </w:p>
        </w:tc>
      </w:tr>
      <w:tr w:rsidR="002619C5">
        <w:trPr>
          <w:cantSplit/>
          <w:tblHeader/>
        </w:trPr>
        <w:tc>
          <w:tcPr>
            <w:tcW w:w="2643" w:type="dxa"/>
            <w:tcBorders>
              <w:top w:val="single" w:sz="6" w:space="0" w:color="000000"/>
              <w:left w:val="single" w:sz="6" w:space="0" w:color="FFFFFF"/>
              <w:bottom w:val="single" w:sz="6" w:space="0" w:color="000000"/>
              <w:right w:val="single" w:sz="6" w:space="0" w:color="FFFFFF"/>
            </w:tcBorders>
            <w:shd w:val="clear" w:color="auto" w:fill="auto"/>
            <w:tcMar>
              <w:top w:w="100" w:type="dxa"/>
              <w:left w:w="100" w:type="dxa"/>
              <w:bottom w:w="100" w:type="dxa"/>
              <w:right w:w="100" w:type="dxa"/>
            </w:tcMar>
            <w:vAlign w:val="center"/>
          </w:tcPr>
          <w:p w:rsidR="002619C5" w:rsidRDefault="008F5894">
            <w:pPr>
              <w:pStyle w:val="Normal1"/>
              <w:widowControl w:val="0"/>
              <w:pBdr>
                <w:top w:val="nil"/>
                <w:left w:val="nil"/>
                <w:bottom w:val="nil"/>
                <w:right w:val="nil"/>
                <w:between w:val="nil"/>
              </w:pBdr>
              <w:spacing w:after="0" w:line="240" w:lineRule="auto"/>
              <w:jc w:val="center"/>
            </w:pPr>
            <w:r>
              <w:t>Ternera</w:t>
            </w:r>
          </w:p>
        </w:tc>
        <w:tc>
          <w:tcPr>
            <w:tcW w:w="1481" w:type="dxa"/>
            <w:tcBorders>
              <w:top w:val="single" w:sz="6" w:space="0" w:color="000000"/>
              <w:left w:val="single" w:sz="6" w:space="0" w:color="FFFFFF"/>
              <w:bottom w:val="single" w:sz="6" w:space="0" w:color="000000"/>
              <w:right w:val="single" w:sz="6" w:space="0" w:color="FFFFFF"/>
            </w:tcBorders>
            <w:shd w:val="clear" w:color="auto" w:fill="auto"/>
            <w:tcMar>
              <w:top w:w="100" w:type="dxa"/>
              <w:left w:w="100" w:type="dxa"/>
              <w:bottom w:w="100" w:type="dxa"/>
              <w:right w:w="100" w:type="dxa"/>
            </w:tcMar>
            <w:vAlign w:val="center"/>
          </w:tcPr>
          <w:p w:rsidR="002619C5" w:rsidRDefault="008F5894">
            <w:pPr>
              <w:pStyle w:val="Normal1"/>
              <w:widowControl w:val="0"/>
              <w:pBdr>
                <w:top w:val="nil"/>
                <w:left w:val="nil"/>
                <w:bottom w:val="nil"/>
                <w:right w:val="nil"/>
                <w:between w:val="nil"/>
              </w:pBdr>
              <w:spacing w:after="0" w:line="240" w:lineRule="auto"/>
              <w:jc w:val="center"/>
            </w:pPr>
            <w:r>
              <w:t>213</w:t>
            </w:r>
          </w:p>
        </w:tc>
        <w:tc>
          <w:tcPr>
            <w:tcW w:w="1350" w:type="dxa"/>
            <w:tcBorders>
              <w:top w:val="single" w:sz="6" w:space="0" w:color="000000"/>
              <w:left w:val="single" w:sz="6" w:space="0" w:color="FFFFFF"/>
              <w:bottom w:val="single" w:sz="6" w:space="0" w:color="000000"/>
              <w:right w:val="single" w:sz="6" w:space="0" w:color="FFFFFF"/>
            </w:tcBorders>
            <w:shd w:val="clear" w:color="auto" w:fill="auto"/>
            <w:tcMar>
              <w:top w:w="100" w:type="dxa"/>
              <w:left w:w="100" w:type="dxa"/>
              <w:bottom w:w="100" w:type="dxa"/>
              <w:right w:w="100" w:type="dxa"/>
            </w:tcMar>
            <w:vAlign w:val="center"/>
          </w:tcPr>
          <w:p w:rsidR="002619C5" w:rsidRDefault="008F5894">
            <w:pPr>
              <w:pStyle w:val="Normal1"/>
              <w:widowControl w:val="0"/>
              <w:pBdr>
                <w:top w:val="nil"/>
                <w:left w:val="nil"/>
                <w:bottom w:val="nil"/>
                <w:right w:val="nil"/>
                <w:between w:val="nil"/>
              </w:pBdr>
              <w:spacing w:after="0" w:line="240" w:lineRule="auto"/>
              <w:jc w:val="center"/>
            </w:pPr>
            <w:r>
              <w:t>10,35</w:t>
            </w:r>
          </w:p>
        </w:tc>
        <w:tc>
          <w:tcPr>
            <w:tcW w:w="1875" w:type="dxa"/>
            <w:tcBorders>
              <w:top w:val="single" w:sz="6" w:space="0" w:color="000000"/>
              <w:left w:val="single" w:sz="6" w:space="0" w:color="FFFFFF"/>
              <w:bottom w:val="single" w:sz="6" w:space="0" w:color="000000"/>
              <w:right w:val="single" w:sz="6" w:space="0" w:color="FFFFFF"/>
            </w:tcBorders>
            <w:shd w:val="clear" w:color="auto" w:fill="auto"/>
            <w:tcMar>
              <w:top w:w="100" w:type="dxa"/>
              <w:left w:w="100" w:type="dxa"/>
              <w:bottom w:w="100" w:type="dxa"/>
              <w:right w:w="100" w:type="dxa"/>
            </w:tcMar>
            <w:vAlign w:val="center"/>
          </w:tcPr>
          <w:p w:rsidR="002619C5" w:rsidRDefault="008F5894">
            <w:pPr>
              <w:pStyle w:val="Normal1"/>
              <w:widowControl w:val="0"/>
              <w:pBdr>
                <w:top w:val="nil"/>
                <w:left w:val="nil"/>
                <w:bottom w:val="nil"/>
                <w:right w:val="nil"/>
                <w:between w:val="nil"/>
              </w:pBdr>
              <w:spacing w:after="0" w:line="240" w:lineRule="auto"/>
              <w:jc w:val="center"/>
            </w:pPr>
            <w:r>
              <w:t>125</w:t>
            </w:r>
          </w:p>
        </w:tc>
        <w:tc>
          <w:tcPr>
            <w:tcW w:w="1650" w:type="dxa"/>
            <w:tcBorders>
              <w:top w:val="single" w:sz="6" w:space="0" w:color="000000"/>
              <w:left w:val="single" w:sz="6" w:space="0" w:color="FFFFFF"/>
              <w:bottom w:val="single" w:sz="6" w:space="0" w:color="000000"/>
              <w:right w:val="single" w:sz="6" w:space="0" w:color="FFFFFF"/>
            </w:tcBorders>
            <w:shd w:val="clear" w:color="auto" w:fill="auto"/>
            <w:tcMar>
              <w:top w:w="100" w:type="dxa"/>
              <w:left w:w="100" w:type="dxa"/>
              <w:bottom w:w="100" w:type="dxa"/>
              <w:right w:w="100" w:type="dxa"/>
            </w:tcMar>
            <w:vAlign w:val="center"/>
          </w:tcPr>
          <w:p w:rsidR="002619C5" w:rsidRDefault="008F5894">
            <w:pPr>
              <w:pStyle w:val="Normal1"/>
              <w:widowControl w:val="0"/>
              <w:pBdr>
                <w:top w:val="nil"/>
                <w:left w:val="nil"/>
                <w:bottom w:val="nil"/>
                <w:right w:val="nil"/>
                <w:between w:val="nil"/>
              </w:pBdr>
              <w:spacing w:after="0" w:line="240" w:lineRule="auto"/>
              <w:jc w:val="center"/>
            </w:pPr>
            <w:r>
              <w:t>26</w:t>
            </w:r>
          </w:p>
        </w:tc>
      </w:tr>
      <w:tr w:rsidR="002619C5">
        <w:trPr>
          <w:cantSplit/>
          <w:tblHeader/>
        </w:trPr>
        <w:tc>
          <w:tcPr>
            <w:tcW w:w="2643" w:type="dxa"/>
            <w:tcBorders>
              <w:top w:val="single" w:sz="6" w:space="0" w:color="000000"/>
              <w:left w:val="single" w:sz="6" w:space="0" w:color="FFFFFF"/>
              <w:bottom w:val="single" w:sz="6" w:space="0" w:color="000000"/>
              <w:right w:val="single" w:sz="6" w:space="0" w:color="FFFFFF"/>
            </w:tcBorders>
            <w:shd w:val="clear" w:color="auto" w:fill="auto"/>
            <w:tcMar>
              <w:top w:w="100" w:type="dxa"/>
              <w:left w:w="100" w:type="dxa"/>
              <w:bottom w:w="100" w:type="dxa"/>
              <w:right w:w="100" w:type="dxa"/>
            </w:tcMar>
            <w:vAlign w:val="center"/>
          </w:tcPr>
          <w:p w:rsidR="002619C5" w:rsidRDefault="008F5894">
            <w:pPr>
              <w:pStyle w:val="Normal1"/>
              <w:widowControl w:val="0"/>
              <w:pBdr>
                <w:top w:val="nil"/>
                <w:left w:val="nil"/>
                <w:bottom w:val="nil"/>
                <w:right w:val="nil"/>
                <w:between w:val="nil"/>
              </w:pBdr>
              <w:spacing w:after="0" w:line="240" w:lineRule="auto"/>
              <w:jc w:val="center"/>
            </w:pPr>
            <w:r>
              <w:t>Pernil de cerdo magro</w:t>
            </w:r>
          </w:p>
        </w:tc>
        <w:tc>
          <w:tcPr>
            <w:tcW w:w="1481" w:type="dxa"/>
            <w:tcBorders>
              <w:top w:val="single" w:sz="6" w:space="0" w:color="000000"/>
              <w:left w:val="single" w:sz="6" w:space="0" w:color="FFFFFF"/>
              <w:bottom w:val="single" w:sz="6" w:space="0" w:color="000000"/>
              <w:right w:val="single" w:sz="6" w:space="0" w:color="FFFFFF"/>
            </w:tcBorders>
            <w:shd w:val="clear" w:color="auto" w:fill="auto"/>
            <w:tcMar>
              <w:top w:w="100" w:type="dxa"/>
              <w:left w:w="100" w:type="dxa"/>
              <w:bottom w:w="100" w:type="dxa"/>
              <w:right w:w="100" w:type="dxa"/>
            </w:tcMar>
            <w:vAlign w:val="center"/>
          </w:tcPr>
          <w:p w:rsidR="002619C5" w:rsidRDefault="008F5894">
            <w:pPr>
              <w:pStyle w:val="Normal1"/>
              <w:widowControl w:val="0"/>
              <w:pBdr>
                <w:top w:val="nil"/>
                <w:left w:val="nil"/>
                <w:bottom w:val="nil"/>
                <w:right w:val="nil"/>
                <w:between w:val="nil"/>
              </w:pBdr>
              <w:spacing w:after="0" w:line="240" w:lineRule="auto"/>
              <w:jc w:val="center"/>
            </w:pPr>
            <w:r>
              <w:t>219</w:t>
            </w:r>
          </w:p>
        </w:tc>
        <w:tc>
          <w:tcPr>
            <w:tcW w:w="1350" w:type="dxa"/>
            <w:tcBorders>
              <w:top w:val="single" w:sz="6" w:space="0" w:color="000000"/>
              <w:left w:val="single" w:sz="6" w:space="0" w:color="FFFFFF"/>
              <w:bottom w:val="single" w:sz="6" w:space="0" w:color="000000"/>
              <w:right w:val="single" w:sz="6" w:space="0" w:color="FFFFFF"/>
            </w:tcBorders>
            <w:shd w:val="clear" w:color="auto" w:fill="auto"/>
            <w:tcMar>
              <w:top w:w="100" w:type="dxa"/>
              <w:left w:w="100" w:type="dxa"/>
              <w:bottom w:w="100" w:type="dxa"/>
              <w:right w:w="100" w:type="dxa"/>
            </w:tcMar>
            <w:vAlign w:val="center"/>
          </w:tcPr>
          <w:p w:rsidR="002619C5" w:rsidRDefault="008F5894">
            <w:pPr>
              <w:pStyle w:val="Normal1"/>
              <w:widowControl w:val="0"/>
              <w:pBdr>
                <w:top w:val="nil"/>
                <w:left w:val="nil"/>
                <w:bottom w:val="nil"/>
                <w:right w:val="nil"/>
                <w:between w:val="nil"/>
              </w:pBdr>
              <w:spacing w:after="0" w:line="240" w:lineRule="auto"/>
              <w:jc w:val="center"/>
            </w:pPr>
            <w:r>
              <w:t>10,64</w:t>
            </w:r>
          </w:p>
        </w:tc>
        <w:tc>
          <w:tcPr>
            <w:tcW w:w="1875" w:type="dxa"/>
            <w:tcBorders>
              <w:top w:val="single" w:sz="6" w:space="0" w:color="000000"/>
              <w:left w:val="single" w:sz="6" w:space="0" w:color="FFFFFF"/>
              <w:bottom w:val="single" w:sz="6" w:space="0" w:color="000000"/>
              <w:right w:val="single" w:sz="6" w:space="0" w:color="FFFFFF"/>
            </w:tcBorders>
            <w:shd w:val="clear" w:color="auto" w:fill="auto"/>
            <w:tcMar>
              <w:top w:w="100" w:type="dxa"/>
              <w:left w:w="100" w:type="dxa"/>
              <w:bottom w:w="100" w:type="dxa"/>
              <w:right w:w="100" w:type="dxa"/>
            </w:tcMar>
            <w:vAlign w:val="center"/>
          </w:tcPr>
          <w:p w:rsidR="002619C5" w:rsidRDefault="008F5894">
            <w:pPr>
              <w:pStyle w:val="Normal1"/>
              <w:widowControl w:val="0"/>
              <w:pBdr>
                <w:top w:val="nil"/>
                <w:left w:val="nil"/>
                <w:bottom w:val="nil"/>
                <w:right w:val="nil"/>
                <w:between w:val="nil"/>
              </w:pBdr>
              <w:spacing w:after="0" w:line="240" w:lineRule="auto"/>
              <w:jc w:val="center"/>
            </w:pPr>
            <w:r>
              <w:t>101</w:t>
            </w:r>
          </w:p>
        </w:tc>
        <w:tc>
          <w:tcPr>
            <w:tcW w:w="1650" w:type="dxa"/>
            <w:tcBorders>
              <w:top w:val="single" w:sz="6" w:space="0" w:color="000000"/>
              <w:left w:val="single" w:sz="6" w:space="0" w:color="FFFFFF"/>
              <w:bottom w:val="single" w:sz="6" w:space="0" w:color="000000"/>
              <w:right w:val="single" w:sz="6" w:space="0" w:color="FFFFFF"/>
            </w:tcBorders>
            <w:shd w:val="clear" w:color="auto" w:fill="auto"/>
            <w:tcMar>
              <w:top w:w="100" w:type="dxa"/>
              <w:left w:w="100" w:type="dxa"/>
              <w:bottom w:w="100" w:type="dxa"/>
              <w:right w:w="100" w:type="dxa"/>
            </w:tcMar>
            <w:vAlign w:val="center"/>
          </w:tcPr>
          <w:p w:rsidR="002619C5" w:rsidRDefault="008F5894">
            <w:pPr>
              <w:pStyle w:val="Normal1"/>
              <w:widowControl w:val="0"/>
              <w:pBdr>
                <w:top w:val="nil"/>
                <w:left w:val="nil"/>
                <w:bottom w:val="nil"/>
                <w:right w:val="nil"/>
                <w:between w:val="nil"/>
              </w:pBdr>
              <w:spacing w:after="0" w:line="240" w:lineRule="auto"/>
              <w:jc w:val="center"/>
            </w:pPr>
            <w:r>
              <w:t>29</w:t>
            </w:r>
          </w:p>
        </w:tc>
      </w:tr>
      <w:tr w:rsidR="002619C5">
        <w:trPr>
          <w:cantSplit/>
          <w:tblHeader/>
        </w:trPr>
        <w:tc>
          <w:tcPr>
            <w:tcW w:w="2643" w:type="dxa"/>
            <w:tcBorders>
              <w:top w:val="single" w:sz="6" w:space="0" w:color="000000"/>
              <w:left w:val="single" w:sz="6" w:space="0" w:color="FFFFFF"/>
              <w:bottom w:val="single" w:sz="6" w:space="0" w:color="000000"/>
              <w:right w:val="single" w:sz="6" w:space="0" w:color="FFFFFF"/>
            </w:tcBorders>
            <w:shd w:val="clear" w:color="auto" w:fill="auto"/>
            <w:tcMar>
              <w:top w:w="100" w:type="dxa"/>
              <w:left w:w="100" w:type="dxa"/>
              <w:bottom w:w="100" w:type="dxa"/>
              <w:right w:w="100" w:type="dxa"/>
            </w:tcMar>
            <w:vAlign w:val="center"/>
          </w:tcPr>
          <w:p w:rsidR="002619C5" w:rsidRDefault="008F5894">
            <w:pPr>
              <w:pStyle w:val="Normal1"/>
              <w:widowControl w:val="0"/>
              <w:pBdr>
                <w:top w:val="nil"/>
                <w:left w:val="nil"/>
                <w:bottom w:val="nil"/>
                <w:right w:val="nil"/>
                <w:between w:val="nil"/>
              </w:pBdr>
              <w:spacing w:after="0" w:line="240" w:lineRule="auto"/>
              <w:jc w:val="center"/>
            </w:pPr>
            <w:r>
              <w:t>Ostión</w:t>
            </w:r>
          </w:p>
        </w:tc>
        <w:tc>
          <w:tcPr>
            <w:tcW w:w="1481" w:type="dxa"/>
            <w:tcBorders>
              <w:top w:val="single" w:sz="6" w:space="0" w:color="000000"/>
              <w:left w:val="single" w:sz="6" w:space="0" w:color="FFFFFF"/>
              <w:bottom w:val="single" w:sz="6" w:space="0" w:color="000000"/>
              <w:right w:val="single" w:sz="6" w:space="0" w:color="FFFFFF"/>
            </w:tcBorders>
            <w:shd w:val="clear" w:color="auto" w:fill="auto"/>
            <w:tcMar>
              <w:top w:w="100" w:type="dxa"/>
              <w:left w:w="100" w:type="dxa"/>
              <w:bottom w:w="100" w:type="dxa"/>
              <w:right w:w="100" w:type="dxa"/>
            </w:tcMar>
            <w:vAlign w:val="center"/>
          </w:tcPr>
          <w:p w:rsidR="002619C5" w:rsidRDefault="008F5894">
            <w:pPr>
              <w:pStyle w:val="Normal1"/>
              <w:widowControl w:val="0"/>
              <w:pBdr>
                <w:top w:val="nil"/>
                <w:left w:val="nil"/>
                <w:bottom w:val="nil"/>
                <w:right w:val="nil"/>
                <w:between w:val="nil"/>
              </w:pBdr>
              <w:spacing w:after="0" w:line="240" w:lineRule="auto"/>
              <w:jc w:val="center"/>
            </w:pPr>
            <w:r>
              <w:t>215</w:t>
            </w:r>
          </w:p>
        </w:tc>
        <w:tc>
          <w:tcPr>
            <w:tcW w:w="1350" w:type="dxa"/>
            <w:tcBorders>
              <w:top w:val="single" w:sz="6" w:space="0" w:color="000000"/>
              <w:left w:val="single" w:sz="6" w:space="0" w:color="FFFFFF"/>
              <w:bottom w:val="single" w:sz="6" w:space="0" w:color="000000"/>
              <w:right w:val="single" w:sz="6" w:space="0" w:color="FFFFFF"/>
            </w:tcBorders>
            <w:shd w:val="clear" w:color="auto" w:fill="auto"/>
            <w:tcMar>
              <w:top w:w="100" w:type="dxa"/>
              <w:left w:w="100" w:type="dxa"/>
              <w:bottom w:w="100" w:type="dxa"/>
              <w:right w:w="100" w:type="dxa"/>
            </w:tcMar>
            <w:vAlign w:val="center"/>
          </w:tcPr>
          <w:p w:rsidR="002619C5" w:rsidRDefault="008F5894">
            <w:pPr>
              <w:pStyle w:val="Normal1"/>
              <w:widowControl w:val="0"/>
              <w:pBdr>
                <w:top w:val="nil"/>
                <w:left w:val="nil"/>
                <w:bottom w:val="nil"/>
                <w:right w:val="nil"/>
                <w:between w:val="nil"/>
              </w:pBdr>
              <w:spacing w:after="0" w:line="240" w:lineRule="auto"/>
              <w:jc w:val="center"/>
            </w:pPr>
            <w:r>
              <w:t>11</w:t>
            </w:r>
          </w:p>
        </w:tc>
        <w:tc>
          <w:tcPr>
            <w:tcW w:w="1875" w:type="dxa"/>
            <w:tcBorders>
              <w:top w:val="single" w:sz="6" w:space="0" w:color="000000"/>
              <w:left w:val="single" w:sz="6" w:space="0" w:color="FFFFFF"/>
              <w:bottom w:val="single" w:sz="6" w:space="0" w:color="000000"/>
              <w:right w:val="single" w:sz="6" w:space="0" w:color="FFFFFF"/>
            </w:tcBorders>
            <w:shd w:val="clear" w:color="auto" w:fill="auto"/>
            <w:tcMar>
              <w:top w:w="100" w:type="dxa"/>
              <w:left w:w="100" w:type="dxa"/>
              <w:bottom w:w="100" w:type="dxa"/>
              <w:right w:w="100" w:type="dxa"/>
            </w:tcMar>
            <w:vAlign w:val="center"/>
          </w:tcPr>
          <w:p w:rsidR="002619C5" w:rsidRDefault="008F5894">
            <w:pPr>
              <w:pStyle w:val="Normal1"/>
              <w:widowControl w:val="0"/>
              <w:pBdr>
                <w:top w:val="nil"/>
                <w:left w:val="nil"/>
                <w:bottom w:val="nil"/>
                <w:right w:val="nil"/>
                <w:between w:val="nil"/>
              </w:pBdr>
              <w:spacing w:after="0" w:line="240" w:lineRule="auto"/>
              <w:jc w:val="center"/>
            </w:pPr>
            <w:r>
              <w:t>77</w:t>
            </w:r>
          </w:p>
        </w:tc>
        <w:tc>
          <w:tcPr>
            <w:tcW w:w="1650" w:type="dxa"/>
            <w:tcBorders>
              <w:top w:val="single" w:sz="6" w:space="0" w:color="000000"/>
              <w:left w:val="single" w:sz="6" w:space="0" w:color="FFFFFF"/>
              <w:bottom w:val="single" w:sz="6" w:space="0" w:color="000000"/>
              <w:right w:val="single" w:sz="6" w:space="0" w:color="FFFFFF"/>
            </w:tcBorders>
            <w:shd w:val="clear" w:color="auto" w:fill="auto"/>
            <w:tcMar>
              <w:top w:w="100" w:type="dxa"/>
              <w:left w:w="100" w:type="dxa"/>
              <w:bottom w:w="100" w:type="dxa"/>
              <w:right w:w="100" w:type="dxa"/>
            </w:tcMar>
            <w:vAlign w:val="center"/>
          </w:tcPr>
          <w:p w:rsidR="002619C5" w:rsidRDefault="008F5894">
            <w:pPr>
              <w:pStyle w:val="Normal1"/>
              <w:widowControl w:val="0"/>
              <w:pBdr>
                <w:top w:val="nil"/>
                <w:left w:val="nil"/>
                <w:bottom w:val="nil"/>
                <w:right w:val="nil"/>
                <w:between w:val="nil"/>
              </w:pBdr>
              <w:spacing w:after="0" w:line="240" w:lineRule="auto"/>
              <w:jc w:val="center"/>
            </w:pPr>
            <w:r>
              <w:t>17</w:t>
            </w:r>
          </w:p>
        </w:tc>
      </w:tr>
    </w:tbl>
    <w:p w:rsidR="002619C5" w:rsidRDefault="008F5894">
      <w:pPr>
        <w:pStyle w:val="Normal1"/>
        <w:rPr>
          <w:i/>
          <w:iCs/>
        </w:rPr>
      </w:pPr>
      <w:r>
        <w:rPr>
          <w:i/>
          <w:iCs/>
        </w:rPr>
        <w:t xml:space="preserve">*Tomado de “La carne de jabalí” por </w:t>
      </w:r>
      <w:proofErr w:type="spellStart"/>
      <w:r>
        <w:rPr>
          <w:i/>
          <w:iCs/>
        </w:rPr>
        <w:t>Swekes</w:t>
      </w:r>
      <w:proofErr w:type="spellEnd"/>
      <w:r>
        <w:rPr>
          <w:i/>
          <w:iCs/>
        </w:rPr>
        <w:t xml:space="preserve"> </w:t>
      </w:r>
      <w:proofErr w:type="spellStart"/>
      <w:r>
        <w:rPr>
          <w:i/>
          <w:iCs/>
        </w:rPr>
        <w:t>Ramm</w:t>
      </w:r>
      <w:proofErr w:type="spellEnd"/>
      <w:r>
        <w:rPr>
          <w:i/>
          <w:iCs/>
        </w:rPr>
        <w:t>, O. Revista Proveedores y Alimentos.</w:t>
      </w:r>
    </w:p>
    <w:p w:rsidR="002619C5" w:rsidRDefault="008F5894">
      <w:pPr>
        <w:pStyle w:val="Normal1"/>
        <w:ind w:firstLine="720"/>
      </w:pPr>
      <w:r>
        <w:t xml:space="preserve">Se observa que la carne de jabalí contiene un importante aporte de proteínas, </w:t>
      </w:r>
      <w:proofErr w:type="gramStart"/>
      <w:r>
        <w:t>menor  a</w:t>
      </w:r>
      <w:proofErr w:type="gramEnd"/>
      <w:r>
        <w:t xml:space="preserve"> los valores de las carnes tradicionales, pero sí contiene un menor contenido de grasa. Es importante destacar que muchos de los estudios realizados fueron en jabalíes silvestres y no de cautiverio. Según </w:t>
      </w:r>
      <w:r w:rsidR="004C0ACD">
        <w:rPr>
          <w:i/>
          <w:iCs/>
        </w:rPr>
        <w:t>(</w:t>
      </w:r>
      <w:proofErr w:type="spellStart"/>
      <w:r w:rsidR="004C0ACD">
        <w:rPr>
          <w:i/>
          <w:iCs/>
        </w:rPr>
        <w:t>Ramm</w:t>
      </w:r>
      <w:proofErr w:type="spellEnd"/>
      <w:r w:rsidR="004C0ACD">
        <w:rPr>
          <w:i/>
          <w:iCs/>
        </w:rPr>
        <w:t>, 2003)</w:t>
      </w:r>
      <w:r>
        <w:rPr>
          <w:i/>
          <w:iCs/>
        </w:rPr>
        <w:t xml:space="preserve"> </w:t>
      </w:r>
      <w:r>
        <w:t xml:space="preserve">análisis de jabalíes criados en cautiverio de edades de 7, 9 y 12 meses, se encontró contenido en proteína bruta de 25,0; 22,5 y 21,1 gramos cada 100 g de carne respectivamente; grasas totales de 6,5%; 7,2% y 6,1% y cenizas 1,4%; 1,2% y 1,1% con pesos de canales de 40, 70 y 76 kg para las edades mencionadas. En jabalíes en cautiverio hay un porcentaje de grasa mayor, debido al modo de crianza y manejo de los mismos.  </w:t>
      </w:r>
    </w:p>
    <w:p w:rsidR="002619C5" w:rsidRDefault="004C0ACD">
      <w:pPr>
        <w:pStyle w:val="Normal1"/>
        <w:ind w:firstLine="720"/>
      </w:pPr>
      <w:r>
        <w:rPr>
          <w:iCs/>
        </w:rPr>
        <w:t xml:space="preserve">En su estudio sobre la homogeneidad </w:t>
      </w:r>
      <w:r w:rsidR="00263230">
        <w:rPr>
          <w:iCs/>
        </w:rPr>
        <w:t>en la calidad de la carne de jabalí salvaje (</w:t>
      </w:r>
      <w:r w:rsidR="008F5894">
        <w:rPr>
          <w:i/>
          <w:iCs/>
        </w:rPr>
        <w:t>Jonsson</w:t>
      </w:r>
      <w:r>
        <w:rPr>
          <w:i/>
          <w:iCs/>
        </w:rPr>
        <w:t>,</w:t>
      </w:r>
      <w:r w:rsidR="008F5894">
        <w:rPr>
          <w:i/>
          <w:iCs/>
        </w:rPr>
        <w:t xml:space="preserve"> </w:t>
      </w:r>
      <w:r w:rsidR="00263230">
        <w:t>2022)</w:t>
      </w:r>
      <w:r w:rsidR="008F5894">
        <w:t xml:space="preserve"> demostró los diferentes ácidos grasos presentes en la carne de cerdo y carne de jabalí salvaje. En la tabla 3 se observa que el jabalí presenta mayor cantidad del ácido linolénico (C18:2), linoleico (C18:3) y araquidónico (C20:4) que son ácidos grasos poliinsaturados, responsables de prevenir enfermedades cardiovasculares, reducir el colesterol total y LDL, favorecer la coagulación sanguínea, respuesta inmune y antiinflamatoria, entre otras. </w:t>
      </w:r>
    </w:p>
    <w:p w:rsidR="002619C5" w:rsidRDefault="008F5894">
      <w:pPr>
        <w:pStyle w:val="Normal1"/>
        <w:spacing w:after="0"/>
        <w:ind w:firstLine="720"/>
        <w:rPr>
          <w:i/>
          <w:iCs/>
          <w:u w:val="single"/>
        </w:rPr>
      </w:pPr>
      <w:r>
        <w:rPr>
          <w:i/>
          <w:iCs/>
          <w:u w:val="single"/>
        </w:rPr>
        <w:lastRenderedPageBreak/>
        <w:t>Tabla 3. Contenido lipídico en promedio total expresado en porcentajes y la clase de composición lipídica para jabalíes salvajes y cerdos en (g/100g de carne</w:t>
      </w:r>
      <w:proofErr w:type="gramStart"/>
      <w:r>
        <w:rPr>
          <w:i/>
          <w:iCs/>
          <w:u w:val="single"/>
        </w:rPr>
        <w:t>).*</w:t>
      </w:r>
      <w:proofErr w:type="gramEnd"/>
    </w:p>
    <w:tbl>
      <w:tblPr>
        <w:tblStyle w:val="a2"/>
        <w:tblpPr w:leftFromText="180" w:rightFromText="180" w:topFromText="180" w:bottomFromText="180" w:vertAnchor="text" w:tblpXSpec="inside"/>
        <w:tblW w:w="910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90"/>
        <w:gridCol w:w="2817"/>
        <w:gridCol w:w="2103"/>
        <w:gridCol w:w="1995"/>
      </w:tblGrid>
      <w:tr w:rsidR="002619C5">
        <w:trPr>
          <w:cantSplit/>
          <w:tblHeader/>
        </w:trPr>
        <w:tc>
          <w:tcPr>
            <w:tcW w:w="2190" w:type="dxa"/>
            <w:tcBorders>
              <w:top w:val="single" w:sz="12" w:space="0" w:color="000000"/>
              <w:left w:val="single" w:sz="12" w:space="0" w:color="FFFFFF"/>
              <w:bottom w:val="single" w:sz="12" w:space="0" w:color="000000"/>
              <w:right w:val="single" w:sz="12"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ind w:left="141"/>
              <w:jc w:val="center"/>
              <w:rPr>
                <w:b/>
                <w:bCs/>
              </w:rPr>
            </w:pPr>
            <w:r>
              <w:rPr>
                <w:b/>
                <w:bCs/>
              </w:rPr>
              <w:t>Ácido graso</w:t>
            </w:r>
          </w:p>
        </w:tc>
        <w:tc>
          <w:tcPr>
            <w:tcW w:w="2817" w:type="dxa"/>
            <w:tcBorders>
              <w:top w:val="single" w:sz="12" w:space="0" w:color="000000"/>
              <w:left w:val="single" w:sz="12" w:space="0" w:color="FFFFFF"/>
              <w:bottom w:val="single" w:sz="12" w:space="0" w:color="000000"/>
              <w:right w:val="single" w:sz="12"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rPr>
                <w:b/>
                <w:bCs/>
              </w:rPr>
            </w:pPr>
            <w:r>
              <w:rPr>
                <w:b/>
                <w:bCs/>
              </w:rPr>
              <w:t>Jabalí Salvaje (%) (n=17)</w:t>
            </w:r>
          </w:p>
        </w:tc>
        <w:tc>
          <w:tcPr>
            <w:tcW w:w="2103" w:type="dxa"/>
            <w:tcBorders>
              <w:top w:val="single" w:sz="12" w:space="0" w:color="000000"/>
              <w:left w:val="single" w:sz="12" w:space="0" w:color="FFFFFF"/>
              <w:bottom w:val="single" w:sz="12" w:space="0" w:color="000000"/>
              <w:right w:val="single" w:sz="12"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rPr>
                <w:b/>
                <w:bCs/>
              </w:rPr>
            </w:pPr>
            <w:r>
              <w:rPr>
                <w:b/>
                <w:bCs/>
              </w:rPr>
              <w:t xml:space="preserve">  Cerdo (%) (n=3) </w:t>
            </w:r>
          </w:p>
        </w:tc>
        <w:tc>
          <w:tcPr>
            <w:tcW w:w="1995" w:type="dxa"/>
            <w:tcBorders>
              <w:top w:val="single" w:sz="12" w:space="0" w:color="000000"/>
              <w:left w:val="single" w:sz="12" w:space="0" w:color="FFFFFF"/>
              <w:bottom w:val="single" w:sz="12" w:space="0" w:color="000000"/>
              <w:right w:val="single" w:sz="12"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rPr>
                <w:b/>
                <w:bCs/>
              </w:rPr>
            </w:pPr>
            <w:r>
              <w:rPr>
                <w:b/>
                <w:bCs/>
              </w:rPr>
              <w:t>Valor-P</w:t>
            </w:r>
          </w:p>
        </w:tc>
      </w:tr>
      <w:tr w:rsidR="002619C5">
        <w:trPr>
          <w:cantSplit/>
          <w:tblHeader/>
        </w:trPr>
        <w:tc>
          <w:tcPr>
            <w:tcW w:w="2190" w:type="dxa"/>
            <w:tcBorders>
              <w:top w:val="single" w:sz="12"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 xml:space="preserve">Lípidos totales </w:t>
            </w:r>
          </w:p>
        </w:tc>
        <w:tc>
          <w:tcPr>
            <w:tcW w:w="2817" w:type="dxa"/>
            <w:tcBorders>
              <w:top w:val="single" w:sz="12"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4.71 ± 1.91</w:t>
            </w:r>
          </w:p>
        </w:tc>
        <w:tc>
          <w:tcPr>
            <w:tcW w:w="2103" w:type="dxa"/>
            <w:tcBorders>
              <w:top w:val="single" w:sz="12"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2.92 ± 0.23</w:t>
            </w:r>
          </w:p>
        </w:tc>
        <w:tc>
          <w:tcPr>
            <w:tcW w:w="1995" w:type="dxa"/>
            <w:tcBorders>
              <w:top w:val="single" w:sz="12"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0.129</w:t>
            </w:r>
          </w:p>
        </w:tc>
      </w:tr>
      <w:tr w:rsidR="002619C5">
        <w:trPr>
          <w:cantSplit/>
          <w:tblHeader/>
        </w:trPr>
        <w:tc>
          <w:tcPr>
            <w:tcW w:w="2190"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ind w:left="141"/>
              <w:jc w:val="center"/>
            </w:pPr>
            <w:r>
              <w:t>C14:0</w:t>
            </w:r>
          </w:p>
        </w:tc>
        <w:tc>
          <w:tcPr>
            <w:tcW w:w="2817"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1.19 ± 0.41</w:t>
            </w:r>
          </w:p>
        </w:tc>
        <w:tc>
          <w:tcPr>
            <w:tcW w:w="2103"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 xml:space="preserve"> 1.22 ± 0.20</w:t>
            </w:r>
          </w:p>
        </w:tc>
        <w:tc>
          <w:tcPr>
            <w:tcW w:w="1995"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0.905</w:t>
            </w:r>
          </w:p>
        </w:tc>
      </w:tr>
      <w:tr w:rsidR="002619C5">
        <w:trPr>
          <w:cantSplit/>
          <w:tblHeader/>
        </w:trPr>
        <w:tc>
          <w:tcPr>
            <w:tcW w:w="2190"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ind w:left="141"/>
              <w:jc w:val="center"/>
            </w:pPr>
            <w:r>
              <w:t xml:space="preserve">C16:0 </w:t>
            </w:r>
          </w:p>
        </w:tc>
        <w:tc>
          <w:tcPr>
            <w:tcW w:w="2817"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 xml:space="preserve">23.6 ± 1.47 </w:t>
            </w:r>
          </w:p>
        </w:tc>
        <w:tc>
          <w:tcPr>
            <w:tcW w:w="2103"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 xml:space="preserve">25.3 ± 1.57 </w:t>
            </w:r>
          </w:p>
        </w:tc>
        <w:tc>
          <w:tcPr>
            <w:tcW w:w="1995"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0.083</w:t>
            </w:r>
          </w:p>
        </w:tc>
      </w:tr>
      <w:tr w:rsidR="002619C5">
        <w:trPr>
          <w:cantSplit/>
          <w:trHeight w:val="432"/>
          <w:tblHeader/>
        </w:trPr>
        <w:tc>
          <w:tcPr>
            <w:tcW w:w="2190"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ind w:left="141"/>
              <w:jc w:val="center"/>
            </w:pPr>
            <w:r>
              <w:t>C16:1(n-9)</w:t>
            </w:r>
          </w:p>
        </w:tc>
        <w:tc>
          <w:tcPr>
            <w:tcW w:w="2817"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0.43 ± 0.29</w:t>
            </w:r>
          </w:p>
        </w:tc>
        <w:tc>
          <w:tcPr>
            <w:tcW w:w="2103"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0.31 ± 0.27</w:t>
            </w:r>
          </w:p>
        </w:tc>
        <w:tc>
          <w:tcPr>
            <w:tcW w:w="1995"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0.504</w:t>
            </w:r>
          </w:p>
        </w:tc>
      </w:tr>
      <w:tr w:rsidR="002619C5">
        <w:trPr>
          <w:cantSplit/>
          <w:trHeight w:val="432"/>
          <w:tblHeader/>
        </w:trPr>
        <w:tc>
          <w:tcPr>
            <w:tcW w:w="2190"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ind w:left="141"/>
              <w:jc w:val="center"/>
            </w:pPr>
            <w:r>
              <w:t>C16:1(n-7)</w:t>
            </w:r>
          </w:p>
        </w:tc>
        <w:tc>
          <w:tcPr>
            <w:tcW w:w="2817"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2.56 ± 0.83</w:t>
            </w:r>
          </w:p>
        </w:tc>
        <w:tc>
          <w:tcPr>
            <w:tcW w:w="2103"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4.13 ± 0.20</w:t>
            </w:r>
          </w:p>
        </w:tc>
        <w:tc>
          <w:tcPr>
            <w:tcW w:w="1995"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0.005</w:t>
            </w:r>
          </w:p>
        </w:tc>
      </w:tr>
      <w:tr w:rsidR="002619C5">
        <w:trPr>
          <w:cantSplit/>
          <w:trHeight w:val="432"/>
          <w:tblHeader/>
        </w:trPr>
        <w:tc>
          <w:tcPr>
            <w:tcW w:w="2190"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ind w:left="141"/>
              <w:jc w:val="center"/>
            </w:pPr>
            <w:r>
              <w:t xml:space="preserve">C17:0 </w:t>
            </w:r>
          </w:p>
        </w:tc>
        <w:tc>
          <w:tcPr>
            <w:tcW w:w="2817"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 xml:space="preserve">0.22 ± 0.24 </w:t>
            </w:r>
          </w:p>
        </w:tc>
        <w:tc>
          <w:tcPr>
            <w:tcW w:w="2103"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0</w:t>
            </w:r>
          </w:p>
        </w:tc>
        <w:tc>
          <w:tcPr>
            <w:tcW w:w="1995"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 xml:space="preserve"> 0.124</w:t>
            </w:r>
          </w:p>
        </w:tc>
      </w:tr>
      <w:tr w:rsidR="002619C5">
        <w:trPr>
          <w:cantSplit/>
          <w:trHeight w:val="432"/>
          <w:tblHeader/>
        </w:trPr>
        <w:tc>
          <w:tcPr>
            <w:tcW w:w="2190"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ind w:left="141"/>
              <w:jc w:val="center"/>
            </w:pPr>
            <w:r>
              <w:t xml:space="preserve">C18:0 </w:t>
            </w:r>
          </w:p>
        </w:tc>
        <w:tc>
          <w:tcPr>
            <w:tcW w:w="2817"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 xml:space="preserve">10.3 ± 1.08 </w:t>
            </w:r>
          </w:p>
        </w:tc>
        <w:tc>
          <w:tcPr>
            <w:tcW w:w="2103"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 xml:space="preserve">10.7± 1.05 </w:t>
            </w:r>
          </w:p>
        </w:tc>
        <w:tc>
          <w:tcPr>
            <w:tcW w:w="1995"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0.524</w:t>
            </w:r>
          </w:p>
        </w:tc>
      </w:tr>
      <w:tr w:rsidR="002619C5">
        <w:trPr>
          <w:cantSplit/>
          <w:trHeight w:val="432"/>
          <w:tblHeader/>
        </w:trPr>
        <w:tc>
          <w:tcPr>
            <w:tcW w:w="2190"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ind w:left="141"/>
              <w:jc w:val="center"/>
            </w:pPr>
            <w:r>
              <w:t>C18:1(n-9)</w:t>
            </w:r>
          </w:p>
        </w:tc>
        <w:tc>
          <w:tcPr>
            <w:tcW w:w="2817"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35.9 ± 4.70</w:t>
            </w:r>
          </w:p>
        </w:tc>
        <w:tc>
          <w:tcPr>
            <w:tcW w:w="2103"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42.2 ± 0.17</w:t>
            </w:r>
          </w:p>
        </w:tc>
        <w:tc>
          <w:tcPr>
            <w:tcW w:w="1995"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0.036</w:t>
            </w:r>
          </w:p>
        </w:tc>
      </w:tr>
      <w:tr w:rsidR="002619C5">
        <w:trPr>
          <w:cantSplit/>
          <w:trHeight w:val="432"/>
          <w:tblHeader/>
        </w:trPr>
        <w:tc>
          <w:tcPr>
            <w:tcW w:w="2190"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ind w:left="141"/>
              <w:jc w:val="center"/>
            </w:pPr>
            <w:r>
              <w:t>C18:1(n-7)</w:t>
            </w:r>
          </w:p>
        </w:tc>
        <w:tc>
          <w:tcPr>
            <w:tcW w:w="2817"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3.98 ± 0.49</w:t>
            </w:r>
          </w:p>
        </w:tc>
        <w:tc>
          <w:tcPr>
            <w:tcW w:w="2103"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4.38 ± 0.29</w:t>
            </w:r>
          </w:p>
        </w:tc>
        <w:tc>
          <w:tcPr>
            <w:tcW w:w="1995"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0.196</w:t>
            </w:r>
          </w:p>
        </w:tc>
      </w:tr>
      <w:tr w:rsidR="002619C5">
        <w:trPr>
          <w:cantSplit/>
          <w:trHeight w:val="432"/>
          <w:tblHeader/>
        </w:trPr>
        <w:tc>
          <w:tcPr>
            <w:tcW w:w="2190"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ind w:left="141"/>
              <w:jc w:val="center"/>
            </w:pPr>
            <w:r>
              <w:t>C18:2(n-6)</w:t>
            </w:r>
          </w:p>
        </w:tc>
        <w:tc>
          <w:tcPr>
            <w:tcW w:w="2817"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16.1 ± 3.32</w:t>
            </w:r>
          </w:p>
        </w:tc>
        <w:tc>
          <w:tcPr>
            <w:tcW w:w="2103"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8.69 ± 0.82</w:t>
            </w:r>
          </w:p>
        </w:tc>
        <w:tc>
          <w:tcPr>
            <w:tcW w:w="1995"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0.001</w:t>
            </w:r>
          </w:p>
        </w:tc>
      </w:tr>
      <w:tr w:rsidR="002619C5">
        <w:trPr>
          <w:cantSplit/>
          <w:trHeight w:val="432"/>
          <w:tblHeader/>
        </w:trPr>
        <w:tc>
          <w:tcPr>
            <w:tcW w:w="2190"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ind w:left="141"/>
              <w:jc w:val="center"/>
            </w:pPr>
            <w:r>
              <w:t>C18:3(n-3)</w:t>
            </w:r>
          </w:p>
        </w:tc>
        <w:tc>
          <w:tcPr>
            <w:tcW w:w="2817"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0.98 ± 0.36</w:t>
            </w:r>
          </w:p>
        </w:tc>
        <w:tc>
          <w:tcPr>
            <w:tcW w:w="2103"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0.31 ± 0.29</w:t>
            </w:r>
          </w:p>
        </w:tc>
        <w:tc>
          <w:tcPr>
            <w:tcW w:w="1995"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0.007</w:t>
            </w:r>
          </w:p>
        </w:tc>
      </w:tr>
      <w:tr w:rsidR="002619C5">
        <w:trPr>
          <w:cantSplit/>
          <w:trHeight w:val="432"/>
          <w:tblHeader/>
        </w:trPr>
        <w:tc>
          <w:tcPr>
            <w:tcW w:w="2190"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ind w:left="141"/>
              <w:jc w:val="center"/>
            </w:pPr>
            <w:r>
              <w:t>C20:1(n-9)</w:t>
            </w:r>
          </w:p>
        </w:tc>
        <w:tc>
          <w:tcPr>
            <w:tcW w:w="2817"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0.46 ± 0.36</w:t>
            </w:r>
          </w:p>
        </w:tc>
        <w:tc>
          <w:tcPr>
            <w:tcW w:w="2103"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0.52 ± 0.07</w:t>
            </w:r>
          </w:p>
        </w:tc>
        <w:tc>
          <w:tcPr>
            <w:tcW w:w="1995"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0.762</w:t>
            </w:r>
          </w:p>
        </w:tc>
      </w:tr>
      <w:tr w:rsidR="002619C5">
        <w:trPr>
          <w:cantSplit/>
          <w:trHeight w:val="432"/>
          <w:tblHeader/>
        </w:trPr>
        <w:tc>
          <w:tcPr>
            <w:tcW w:w="2190"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C20:2(n-6)</w:t>
            </w:r>
          </w:p>
        </w:tc>
        <w:tc>
          <w:tcPr>
            <w:tcW w:w="2817"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0.40 ± 0.40</w:t>
            </w:r>
          </w:p>
        </w:tc>
        <w:tc>
          <w:tcPr>
            <w:tcW w:w="2103"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0</w:t>
            </w:r>
          </w:p>
        </w:tc>
        <w:tc>
          <w:tcPr>
            <w:tcW w:w="1995"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0.012</w:t>
            </w:r>
          </w:p>
        </w:tc>
      </w:tr>
      <w:tr w:rsidR="002619C5">
        <w:trPr>
          <w:cantSplit/>
          <w:trHeight w:val="432"/>
          <w:tblHeader/>
        </w:trPr>
        <w:tc>
          <w:tcPr>
            <w:tcW w:w="2190"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C20:3(n-6)</w:t>
            </w:r>
          </w:p>
        </w:tc>
        <w:tc>
          <w:tcPr>
            <w:tcW w:w="2817"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0.29 ± 0.36</w:t>
            </w:r>
          </w:p>
        </w:tc>
        <w:tc>
          <w:tcPr>
            <w:tcW w:w="2103"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0.17 ± 0.29</w:t>
            </w:r>
          </w:p>
        </w:tc>
        <w:tc>
          <w:tcPr>
            <w:tcW w:w="1995"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0.555</w:t>
            </w:r>
          </w:p>
        </w:tc>
      </w:tr>
      <w:tr w:rsidR="002619C5">
        <w:trPr>
          <w:cantSplit/>
          <w:trHeight w:val="432"/>
          <w:tblHeader/>
        </w:trPr>
        <w:tc>
          <w:tcPr>
            <w:tcW w:w="2190"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C20:4(n-6)</w:t>
            </w:r>
          </w:p>
        </w:tc>
        <w:tc>
          <w:tcPr>
            <w:tcW w:w="2817"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2.83 ± 1.71</w:t>
            </w:r>
          </w:p>
        </w:tc>
        <w:tc>
          <w:tcPr>
            <w:tcW w:w="2103"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2.12 ± 0.42</w:t>
            </w:r>
          </w:p>
        </w:tc>
        <w:tc>
          <w:tcPr>
            <w:tcW w:w="1995"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0.489</w:t>
            </w:r>
          </w:p>
        </w:tc>
      </w:tr>
      <w:tr w:rsidR="002619C5">
        <w:trPr>
          <w:cantSplit/>
          <w:trHeight w:val="432"/>
          <w:tblHeader/>
        </w:trPr>
        <w:tc>
          <w:tcPr>
            <w:tcW w:w="2190"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C20:5(n-3)</w:t>
            </w:r>
          </w:p>
        </w:tc>
        <w:tc>
          <w:tcPr>
            <w:tcW w:w="2817"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0.36 ± 0.27</w:t>
            </w:r>
          </w:p>
        </w:tc>
        <w:tc>
          <w:tcPr>
            <w:tcW w:w="2103"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0</w:t>
            </w:r>
          </w:p>
        </w:tc>
        <w:tc>
          <w:tcPr>
            <w:tcW w:w="1995"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0.034</w:t>
            </w:r>
          </w:p>
        </w:tc>
      </w:tr>
      <w:tr w:rsidR="002619C5">
        <w:trPr>
          <w:cantSplit/>
          <w:trHeight w:val="432"/>
          <w:tblHeader/>
        </w:trPr>
        <w:tc>
          <w:tcPr>
            <w:tcW w:w="2190"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C22:5(n-3)</w:t>
            </w:r>
          </w:p>
        </w:tc>
        <w:tc>
          <w:tcPr>
            <w:tcW w:w="2817"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0.47 ± 0.40</w:t>
            </w:r>
          </w:p>
        </w:tc>
        <w:tc>
          <w:tcPr>
            <w:tcW w:w="2103"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0</w:t>
            </w:r>
          </w:p>
        </w:tc>
        <w:tc>
          <w:tcPr>
            <w:tcW w:w="1995"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0.06</w:t>
            </w:r>
          </w:p>
        </w:tc>
      </w:tr>
      <w:tr w:rsidR="002619C5">
        <w:trPr>
          <w:cantSplit/>
          <w:trHeight w:val="432"/>
          <w:tblHeader/>
        </w:trPr>
        <w:tc>
          <w:tcPr>
            <w:tcW w:w="2190"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SFA</w:t>
            </w:r>
          </w:p>
        </w:tc>
        <w:tc>
          <w:tcPr>
            <w:tcW w:w="2817"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24.8 ± 1.74</w:t>
            </w:r>
          </w:p>
        </w:tc>
        <w:tc>
          <w:tcPr>
            <w:tcW w:w="2103"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26.5 ±1.50</w:t>
            </w:r>
          </w:p>
        </w:tc>
        <w:tc>
          <w:tcPr>
            <w:tcW w:w="1995"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0.125</w:t>
            </w:r>
          </w:p>
        </w:tc>
      </w:tr>
      <w:tr w:rsidR="002619C5">
        <w:trPr>
          <w:cantSplit/>
          <w:trHeight w:val="432"/>
          <w:tblHeader/>
        </w:trPr>
        <w:tc>
          <w:tcPr>
            <w:tcW w:w="2190"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 xml:space="preserve">MUFA </w:t>
            </w:r>
          </w:p>
        </w:tc>
        <w:tc>
          <w:tcPr>
            <w:tcW w:w="2817"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43.3 ± 4.40</w:t>
            </w:r>
          </w:p>
        </w:tc>
        <w:tc>
          <w:tcPr>
            <w:tcW w:w="2103"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51.5 ±0.65</w:t>
            </w:r>
          </w:p>
        </w:tc>
        <w:tc>
          <w:tcPr>
            <w:tcW w:w="1995"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0.006</w:t>
            </w:r>
          </w:p>
        </w:tc>
      </w:tr>
      <w:tr w:rsidR="002619C5">
        <w:trPr>
          <w:cantSplit/>
          <w:trHeight w:val="432"/>
          <w:tblHeader/>
        </w:trPr>
        <w:tc>
          <w:tcPr>
            <w:tcW w:w="2190"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 xml:space="preserve">PUFA </w:t>
            </w:r>
          </w:p>
        </w:tc>
        <w:tc>
          <w:tcPr>
            <w:tcW w:w="2817"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4.96 ± 2.38</w:t>
            </w:r>
          </w:p>
        </w:tc>
        <w:tc>
          <w:tcPr>
            <w:tcW w:w="2103"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2.60 ±0.46</w:t>
            </w:r>
          </w:p>
        </w:tc>
        <w:tc>
          <w:tcPr>
            <w:tcW w:w="1995"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0.111</w:t>
            </w:r>
          </w:p>
        </w:tc>
      </w:tr>
      <w:tr w:rsidR="002619C5">
        <w:trPr>
          <w:cantSplit/>
          <w:trHeight w:val="432"/>
          <w:tblHeader/>
        </w:trPr>
        <w:tc>
          <w:tcPr>
            <w:tcW w:w="2190"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n-6</w:t>
            </w:r>
          </w:p>
        </w:tc>
        <w:tc>
          <w:tcPr>
            <w:tcW w:w="2817"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19.6 ± 5.11</w:t>
            </w:r>
          </w:p>
        </w:tc>
        <w:tc>
          <w:tcPr>
            <w:tcW w:w="2103"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11.0 ±0.91</w:t>
            </w:r>
          </w:p>
        </w:tc>
        <w:tc>
          <w:tcPr>
            <w:tcW w:w="1995"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0.011</w:t>
            </w:r>
          </w:p>
        </w:tc>
      </w:tr>
      <w:tr w:rsidR="002619C5">
        <w:trPr>
          <w:cantSplit/>
          <w:trHeight w:val="432"/>
          <w:tblHeader/>
        </w:trPr>
        <w:tc>
          <w:tcPr>
            <w:tcW w:w="2190"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 xml:space="preserve">n-3 </w:t>
            </w:r>
          </w:p>
        </w:tc>
        <w:tc>
          <w:tcPr>
            <w:tcW w:w="2817"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1.82 ± 0.63</w:t>
            </w:r>
          </w:p>
        </w:tc>
        <w:tc>
          <w:tcPr>
            <w:tcW w:w="2103"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0.31 ±0.29</w:t>
            </w:r>
          </w:p>
        </w:tc>
        <w:tc>
          <w:tcPr>
            <w:tcW w:w="1995"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0.001</w:t>
            </w:r>
          </w:p>
        </w:tc>
      </w:tr>
      <w:tr w:rsidR="002619C5">
        <w:trPr>
          <w:cantSplit/>
          <w:trHeight w:val="432"/>
          <w:tblHeader/>
        </w:trPr>
        <w:tc>
          <w:tcPr>
            <w:tcW w:w="2190"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lastRenderedPageBreak/>
              <w:t xml:space="preserve">n-6/n-3 </w:t>
            </w:r>
          </w:p>
        </w:tc>
        <w:tc>
          <w:tcPr>
            <w:tcW w:w="2817"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11.9 ± 5.79</w:t>
            </w:r>
          </w:p>
        </w:tc>
        <w:tc>
          <w:tcPr>
            <w:tcW w:w="2103"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 xml:space="preserve">23.5 ± 4.81 </w:t>
            </w:r>
          </w:p>
        </w:tc>
        <w:tc>
          <w:tcPr>
            <w:tcW w:w="1995"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widowControl w:val="0"/>
              <w:spacing w:after="0" w:line="240" w:lineRule="auto"/>
              <w:jc w:val="center"/>
            </w:pPr>
            <w:r>
              <w:t>0.015</w:t>
            </w:r>
          </w:p>
        </w:tc>
      </w:tr>
    </w:tbl>
    <w:p w:rsidR="002619C5" w:rsidRDefault="008F5894">
      <w:pPr>
        <w:pStyle w:val="Normal1"/>
        <w:rPr>
          <w:highlight w:val="yellow"/>
        </w:rPr>
      </w:pPr>
      <w:r>
        <w:rPr>
          <w:i/>
          <w:iCs/>
        </w:rPr>
        <w:t xml:space="preserve">*Tomado de “Wild </w:t>
      </w:r>
      <w:proofErr w:type="spellStart"/>
      <w:r>
        <w:rPr>
          <w:i/>
          <w:iCs/>
        </w:rPr>
        <w:t>boar</w:t>
      </w:r>
      <w:proofErr w:type="spellEnd"/>
      <w:r>
        <w:rPr>
          <w:i/>
          <w:iCs/>
        </w:rPr>
        <w:t xml:space="preserve"> (Sus </w:t>
      </w:r>
      <w:proofErr w:type="spellStart"/>
      <w:r>
        <w:rPr>
          <w:i/>
          <w:iCs/>
        </w:rPr>
        <w:t>scrofa</w:t>
      </w:r>
      <w:proofErr w:type="spellEnd"/>
      <w:r>
        <w:rPr>
          <w:i/>
          <w:iCs/>
        </w:rPr>
        <w:t xml:space="preserve">) </w:t>
      </w:r>
      <w:proofErr w:type="spellStart"/>
      <w:r>
        <w:rPr>
          <w:i/>
          <w:iCs/>
        </w:rPr>
        <w:t>meat</w:t>
      </w:r>
      <w:proofErr w:type="spellEnd"/>
      <w:r>
        <w:rPr>
          <w:i/>
          <w:iCs/>
        </w:rPr>
        <w:t xml:space="preserve"> </w:t>
      </w:r>
      <w:proofErr w:type="spellStart"/>
      <w:r>
        <w:rPr>
          <w:i/>
          <w:iCs/>
        </w:rPr>
        <w:t>quality</w:t>
      </w:r>
      <w:proofErr w:type="spellEnd"/>
      <w:r>
        <w:rPr>
          <w:i/>
          <w:iCs/>
        </w:rPr>
        <w:t xml:space="preserve">, A </w:t>
      </w:r>
      <w:proofErr w:type="spellStart"/>
      <w:r>
        <w:rPr>
          <w:i/>
          <w:iCs/>
        </w:rPr>
        <w:t>study</w:t>
      </w:r>
      <w:proofErr w:type="spellEnd"/>
      <w:r>
        <w:rPr>
          <w:i/>
          <w:iCs/>
        </w:rPr>
        <w:t xml:space="preserve"> </w:t>
      </w:r>
      <w:proofErr w:type="spellStart"/>
      <w:r>
        <w:rPr>
          <w:i/>
          <w:iCs/>
        </w:rPr>
        <w:t>of</w:t>
      </w:r>
      <w:proofErr w:type="spellEnd"/>
      <w:r>
        <w:rPr>
          <w:i/>
          <w:iCs/>
        </w:rPr>
        <w:t xml:space="preserve"> </w:t>
      </w:r>
      <w:proofErr w:type="spellStart"/>
      <w:r>
        <w:rPr>
          <w:i/>
          <w:iCs/>
        </w:rPr>
        <w:t>the</w:t>
      </w:r>
      <w:proofErr w:type="spellEnd"/>
      <w:r>
        <w:rPr>
          <w:i/>
          <w:iCs/>
        </w:rPr>
        <w:t xml:space="preserve"> </w:t>
      </w:r>
      <w:proofErr w:type="spellStart"/>
      <w:r>
        <w:rPr>
          <w:i/>
          <w:iCs/>
        </w:rPr>
        <w:t>homogeneity</w:t>
      </w:r>
      <w:proofErr w:type="spellEnd"/>
      <w:r>
        <w:rPr>
          <w:i/>
          <w:iCs/>
        </w:rPr>
        <w:t xml:space="preserve"> </w:t>
      </w:r>
      <w:proofErr w:type="spellStart"/>
      <w:r>
        <w:rPr>
          <w:i/>
          <w:iCs/>
        </w:rPr>
        <w:t>of</w:t>
      </w:r>
      <w:proofErr w:type="spellEnd"/>
      <w:r>
        <w:rPr>
          <w:i/>
          <w:iCs/>
        </w:rPr>
        <w:t xml:space="preserve"> </w:t>
      </w:r>
      <w:r w:rsidR="00263230">
        <w:rPr>
          <w:i/>
          <w:iCs/>
        </w:rPr>
        <w:t xml:space="preserve">wild </w:t>
      </w:r>
      <w:proofErr w:type="spellStart"/>
      <w:r w:rsidR="00263230">
        <w:rPr>
          <w:i/>
          <w:iCs/>
        </w:rPr>
        <w:t>boar</w:t>
      </w:r>
      <w:proofErr w:type="spellEnd"/>
      <w:r w:rsidR="00263230">
        <w:rPr>
          <w:i/>
          <w:iCs/>
        </w:rPr>
        <w:t xml:space="preserve"> </w:t>
      </w:r>
      <w:proofErr w:type="spellStart"/>
      <w:r w:rsidR="00263230">
        <w:rPr>
          <w:i/>
          <w:iCs/>
        </w:rPr>
        <w:t>meat</w:t>
      </w:r>
      <w:proofErr w:type="spellEnd"/>
      <w:r w:rsidR="00263230">
        <w:rPr>
          <w:i/>
          <w:iCs/>
        </w:rPr>
        <w:t xml:space="preserve"> </w:t>
      </w:r>
      <w:proofErr w:type="spellStart"/>
      <w:r w:rsidR="00263230">
        <w:rPr>
          <w:i/>
          <w:iCs/>
        </w:rPr>
        <w:t>quality</w:t>
      </w:r>
      <w:proofErr w:type="spellEnd"/>
      <w:r w:rsidR="00263230">
        <w:rPr>
          <w:i/>
          <w:iCs/>
        </w:rPr>
        <w:t xml:space="preserve">” </w:t>
      </w:r>
      <w:proofErr w:type="gramStart"/>
      <w:r w:rsidR="00263230">
        <w:rPr>
          <w:i/>
          <w:iCs/>
        </w:rPr>
        <w:t xml:space="preserve">por </w:t>
      </w:r>
      <w:r>
        <w:rPr>
          <w:i/>
          <w:iCs/>
        </w:rPr>
        <w:t xml:space="preserve"> </w:t>
      </w:r>
      <w:r w:rsidR="00263230">
        <w:rPr>
          <w:i/>
          <w:iCs/>
        </w:rPr>
        <w:t>(</w:t>
      </w:r>
      <w:proofErr w:type="gramEnd"/>
      <w:r>
        <w:rPr>
          <w:i/>
          <w:iCs/>
        </w:rPr>
        <w:t>Jonsson. 2022</w:t>
      </w:r>
      <w:r w:rsidR="00263230">
        <w:rPr>
          <w:i/>
          <w:iCs/>
        </w:rPr>
        <w:t>)</w:t>
      </w:r>
      <w:r>
        <w:rPr>
          <w:i/>
          <w:iCs/>
        </w:rPr>
        <w:t>.</w:t>
      </w:r>
    </w:p>
    <w:p w:rsidR="002619C5" w:rsidRDefault="008F5894">
      <w:pPr>
        <w:pStyle w:val="Ttulo2"/>
        <w:spacing w:before="0" w:after="80"/>
        <w:ind w:firstLine="720"/>
        <w:rPr>
          <w:sz w:val="24"/>
          <w:szCs w:val="24"/>
          <w:u w:val="single"/>
        </w:rPr>
      </w:pPr>
      <w:bookmarkStart w:id="7" w:name="_1tg87n2v1as6" w:colFirst="0" w:colLast="0"/>
      <w:bookmarkEnd w:id="7"/>
      <w:r>
        <w:rPr>
          <w:sz w:val="24"/>
          <w:szCs w:val="24"/>
          <w:u w:val="single"/>
        </w:rPr>
        <w:t>Características de la media res</w:t>
      </w:r>
    </w:p>
    <w:p w:rsidR="002619C5" w:rsidRDefault="008F5894">
      <w:pPr>
        <w:pStyle w:val="Normal1"/>
        <w:spacing w:after="80"/>
        <w:ind w:firstLine="720"/>
      </w:pPr>
      <w:r>
        <w:t>Los canales de jabalí presentan una mayor proporción de cabeza que las de cerdo doméstico. También es mayor todo el tren anterior y menor el posterior. El rendimiento de canal se encuentra en valores cercanos al 70% y la comercialización en numerosos países se realiza en canales sin cabeza y sin pie.</w:t>
      </w:r>
    </w:p>
    <w:p w:rsidR="002619C5" w:rsidRDefault="008F5894">
      <w:pPr>
        <w:pStyle w:val="Normal1"/>
        <w:spacing w:after="80"/>
        <w:ind w:firstLine="720"/>
      </w:pPr>
      <w:r>
        <w:t xml:space="preserve">El desposte o despiece tradicional del jabalí se limita básicamente a cuatro o cinco cortes que son: lomo o </w:t>
      </w:r>
      <w:proofErr w:type="spellStart"/>
      <w:r>
        <w:t>carré</w:t>
      </w:r>
      <w:proofErr w:type="spellEnd"/>
      <w:r>
        <w:t xml:space="preserve">, cabeza de lomo, costillar y ambas extremidades: paleta y pernil como se indica en la Figura 1. </w:t>
      </w:r>
    </w:p>
    <w:p w:rsidR="002619C5" w:rsidRDefault="008F5894">
      <w:pPr>
        <w:pStyle w:val="Normal1"/>
        <w:spacing w:after="80"/>
        <w:ind w:firstLine="720"/>
        <w:jc w:val="center"/>
        <w:rPr>
          <w:b/>
          <w:bCs/>
        </w:rPr>
      </w:pPr>
      <w:r>
        <w:rPr>
          <w:noProof/>
          <w:lang w:val="es-ES"/>
        </w:rPr>
        <w:drawing>
          <wp:inline distT="114300" distB="114300" distL="114300" distR="114300">
            <wp:extent cx="3705225" cy="2024023"/>
            <wp:effectExtent l="0" t="0" r="0" b="0"/>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t="2970"/>
                    <a:stretch>
                      <a:fillRect/>
                    </a:stretch>
                  </pic:blipFill>
                  <pic:spPr>
                    <a:xfrm>
                      <a:off x="0" y="0"/>
                      <a:ext cx="3705225" cy="2024023"/>
                    </a:xfrm>
                    <a:prstGeom prst="rect">
                      <a:avLst/>
                    </a:prstGeom>
                    <a:ln/>
                  </pic:spPr>
                </pic:pic>
              </a:graphicData>
            </a:graphic>
          </wp:inline>
        </w:drawing>
      </w:r>
    </w:p>
    <w:p w:rsidR="002619C5" w:rsidRDefault="008F5894">
      <w:pPr>
        <w:pStyle w:val="Normal1"/>
        <w:spacing w:after="80"/>
        <w:ind w:firstLine="720"/>
        <w:jc w:val="center"/>
        <w:rPr>
          <w:i/>
          <w:iCs/>
        </w:rPr>
      </w:pPr>
      <w:r>
        <w:rPr>
          <w:i/>
          <w:iCs/>
        </w:rPr>
        <w:t xml:space="preserve">Figura 1. Cortes de carne en la canal del jabalí. Fuente: </w:t>
      </w:r>
      <w:proofErr w:type="spellStart"/>
      <w:r>
        <w:rPr>
          <w:i/>
          <w:iCs/>
        </w:rPr>
        <w:t>Swekes</w:t>
      </w:r>
      <w:proofErr w:type="spellEnd"/>
      <w:r>
        <w:rPr>
          <w:i/>
          <w:iCs/>
        </w:rPr>
        <w:t xml:space="preserve"> </w:t>
      </w:r>
      <w:proofErr w:type="spellStart"/>
      <w:r>
        <w:rPr>
          <w:i/>
          <w:iCs/>
        </w:rPr>
        <w:t>Ramm</w:t>
      </w:r>
      <w:proofErr w:type="spellEnd"/>
      <w:r>
        <w:rPr>
          <w:i/>
          <w:iCs/>
        </w:rPr>
        <w:t xml:space="preserve"> (2003) “La carne del jabalí”.</w:t>
      </w:r>
    </w:p>
    <w:p w:rsidR="002619C5" w:rsidRDefault="008F5894">
      <w:pPr>
        <w:pStyle w:val="Normal1"/>
        <w:ind w:firstLine="720"/>
      </w:pPr>
      <w:r>
        <w:t>Su carne posee un sabor levemente salvaje, que depende del momento de faena, dado que, para evitar que su carne sea de sabor fuerte, no debe ser sacrificada en época de celo. Del mismo modo, varía el porcentaje lipídico de la canal, siendo más elevado en otoño. Debido al menor tenor graso, la carne de jabalí tiende a reducirse menos que otras en la cocción, posee capacidad de retención de agua y firmeza de gel, proporcionando características tecnológicas favorables para su uso industrial.</w:t>
      </w:r>
    </w:p>
    <w:p w:rsidR="002619C5" w:rsidRDefault="008F5894">
      <w:pPr>
        <w:pStyle w:val="Ttulo2"/>
        <w:spacing w:before="0"/>
        <w:ind w:firstLine="720"/>
      </w:pPr>
      <w:bookmarkStart w:id="8" w:name="_ty03mtr16oaq" w:colFirst="0" w:colLast="0"/>
      <w:bookmarkEnd w:id="8"/>
      <w:r>
        <w:rPr>
          <w:sz w:val="24"/>
          <w:szCs w:val="24"/>
          <w:u w:val="single"/>
        </w:rPr>
        <w:lastRenderedPageBreak/>
        <w:t>Características físico-químicas y factores de calidad industrial para la carne de jabalí.</w:t>
      </w:r>
    </w:p>
    <w:p w:rsidR="002619C5" w:rsidRDefault="008F5894">
      <w:pPr>
        <w:pStyle w:val="Normal1"/>
        <w:ind w:firstLine="720"/>
      </w:pPr>
      <w:r>
        <w:t xml:space="preserve">Los factores de calidad comercial de la carne de jabalí son comparables a los del cerdo. El pH de este tipo de carne se encuentra próximo a 5.46 ± 0,14 para el </w:t>
      </w:r>
      <w:r>
        <w:rPr>
          <w:i/>
          <w:iCs/>
        </w:rPr>
        <w:t xml:space="preserve">L. </w:t>
      </w:r>
      <w:proofErr w:type="spellStart"/>
      <w:r>
        <w:rPr>
          <w:i/>
          <w:iCs/>
        </w:rPr>
        <w:t>Dorsi</w:t>
      </w:r>
      <w:proofErr w:type="spellEnd"/>
      <w:r>
        <w:t xml:space="preserve"> y 5.47 ± 0,15 para el </w:t>
      </w:r>
      <w:proofErr w:type="spellStart"/>
      <w:r>
        <w:rPr>
          <w:i/>
          <w:iCs/>
        </w:rPr>
        <w:t>Semimembranosus</w:t>
      </w:r>
      <w:proofErr w:type="spellEnd"/>
      <w:r>
        <w:rPr>
          <w:i/>
          <w:iCs/>
        </w:rPr>
        <w:t>,</w:t>
      </w:r>
      <w:r>
        <w:t xml:space="preserve"> comparado con el pH de carne normal de cerdo, que es aproximado a 5.32 ± 0,10 para </w:t>
      </w:r>
      <w:r>
        <w:rPr>
          <w:i/>
          <w:iCs/>
        </w:rPr>
        <w:t xml:space="preserve">L. </w:t>
      </w:r>
      <w:proofErr w:type="spellStart"/>
      <w:r>
        <w:rPr>
          <w:i/>
          <w:iCs/>
        </w:rPr>
        <w:t>Dorsi</w:t>
      </w:r>
      <w:proofErr w:type="spellEnd"/>
      <w:r>
        <w:t xml:space="preserve"> y para el </w:t>
      </w:r>
      <w:proofErr w:type="spellStart"/>
      <w:r>
        <w:rPr>
          <w:i/>
          <w:iCs/>
        </w:rPr>
        <w:t>Semimembranosus</w:t>
      </w:r>
      <w:proofErr w:type="spellEnd"/>
      <w:r>
        <w:rPr>
          <w:i/>
          <w:iCs/>
        </w:rPr>
        <w:t xml:space="preserve"> de </w:t>
      </w:r>
      <w:r>
        <w:t>5.34 ± 0,10 después de 48 h post</w:t>
      </w:r>
      <w:r w:rsidR="00263230">
        <w:t xml:space="preserve"> mortem (</w:t>
      </w:r>
      <w:proofErr w:type="spellStart"/>
      <w:r w:rsidR="00263230">
        <w:t>Marchiori</w:t>
      </w:r>
      <w:proofErr w:type="spellEnd"/>
      <w:r w:rsidR="00263230">
        <w:t xml:space="preserve"> y </w:t>
      </w:r>
      <w:proofErr w:type="spellStart"/>
      <w:r>
        <w:t>Felício</w:t>
      </w:r>
      <w:proofErr w:type="spellEnd"/>
      <w:r w:rsidR="00263230">
        <w:t>,</w:t>
      </w:r>
      <w:r>
        <w:t xml:space="preserve"> 2003).  Por lo que presenta un intervalo levemente mayor.</w:t>
      </w:r>
    </w:p>
    <w:p w:rsidR="002619C5" w:rsidRDefault="008F5894">
      <w:pPr>
        <w:pStyle w:val="Normal1"/>
        <w:ind w:firstLine="720"/>
      </w:pPr>
      <w:r>
        <w:t xml:space="preserve">En este rango de pH, la capacidad de retención de agua de la carne es alta, ya que las proteínas se encuentran alejadas del punto isoeléctrico, contienen carga, lo que les permite formar enlaces con las moléculas de agua y tenerlas. Esta característica, cuando se presenta en gran medida por mal procesamiento </w:t>
      </w:r>
      <w:proofErr w:type="spellStart"/>
      <w:r>
        <w:t>post-mortem</w:t>
      </w:r>
      <w:proofErr w:type="spellEnd"/>
      <w:r>
        <w:t xml:space="preserve"> en la carne fresca, no es deseada, ya que se traduce en carnes DFD. Pero en carnes normales, la capacidad de retención de agua es un factor importante, ya que proporciona jugosidad en carnes frescas y, en emulsiones, la capacidad de formar la red tridimensional, estabilizando a la emulsión y resistencia al producto fi</w:t>
      </w:r>
      <w:r w:rsidR="00263230">
        <w:t>nal. Según (</w:t>
      </w:r>
      <w:proofErr w:type="spellStart"/>
      <w:r w:rsidR="00263230">
        <w:t>Marchiori</w:t>
      </w:r>
      <w:proofErr w:type="spellEnd"/>
      <w:r w:rsidR="00263230">
        <w:t xml:space="preserve"> y de </w:t>
      </w:r>
      <w:proofErr w:type="spellStart"/>
      <w:r w:rsidR="00263230">
        <w:t>Felício</w:t>
      </w:r>
      <w:proofErr w:type="spellEnd"/>
      <w:r w:rsidR="00263230">
        <w:t xml:space="preserve">, </w:t>
      </w:r>
      <w:r>
        <w:t>2003), la diferencia entre la capacidad de retención de agua entre cerdos y jabalíes machos no es significativa; sin embargo, la CRA en las jabalíes hembras es ligeramente mejor.</w:t>
      </w:r>
    </w:p>
    <w:p w:rsidR="002619C5" w:rsidRDefault="00505236">
      <w:pPr>
        <w:pStyle w:val="Normal1"/>
        <w:ind w:firstLine="720"/>
      </w:pPr>
      <w:r>
        <w:t xml:space="preserve">Por otro lado, </w:t>
      </w:r>
      <w:r w:rsidR="008F5894">
        <w:t>su bajo contenido de grasa representa un desafío tecnológico en la elaboración de mortadela, ya que este producto requiere un aporte graso suficiente para garantizar la estabilidad de la emulsión y características del producto final.</w:t>
      </w:r>
    </w:p>
    <w:p w:rsidR="002619C5" w:rsidRDefault="008F5894">
      <w:pPr>
        <w:pStyle w:val="Normal1"/>
        <w:ind w:firstLine="720"/>
      </w:pPr>
      <w:r>
        <w:t xml:space="preserve">En la comparación de color entre estas dos carnes, la carne de jabalí presenta valores de L* </w:t>
      </w:r>
      <w:proofErr w:type="gramStart"/>
      <w:r>
        <w:t>bajos  y</w:t>
      </w:r>
      <w:proofErr w:type="gramEnd"/>
      <w:r>
        <w:t xml:space="preserve"> valores de a* altos respecto al cerdo según </w:t>
      </w:r>
      <w:r w:rsidR="00505236">
        <w:t>(</w:t>
      </w:r>
      <w:proofErr w:type="spellStart"/>
      <w:r w:rsidR="00505236">
        <w:t>Marchiori</w:t>
      </w:r>
      <w:proofErr w:type="spellEnd"/>
      <w:r w:rsidR="00505236">
        <w:t xml:space="preserve"> y de </w:t>
      </w:r>
      <w:proofErr w:type="spellStart"/>
      <w:r w:rsidR="00505236">
        <w:t>Felício</w:t>
      </w:r>
      <w:proofErr w:type="spellEnd"/>
      <w:r w:rsidR="00505236">
        <w:t>, 2003).</w:t>
      </w:r>
    </w:p>
    <w:p w:rsidR="002619C5" w:rsidRDefault="008F5894">
      <w:pPr>
        <w:pStyle w:val="Normal1"/>
        <w:ind w:firstLine="720"/>
      </w:pPr>
      <w:r>
        <w:t>En la evaluación de calidad de la carne de jabalí para su utilización como materia prima en la producción de emulsiones, adoptamos los mismos factores evaluados en carne de cerdo y vacuno, siendo estos: pH, c</w:t>
      </w:r>
      <w:r w:rsidR="00505236">
        <w:t>apacidad de retención de agua y</w:t>
      </w:r>
      <w:r>
        <w:t xml:space="preserve"> calidad higiénico-sanitaria. </w:t>
      </w:r>
    </w:p>
    <w:p w:rsidR="002619C5" w:rsidRDefault="008F5894">
      <w:pPr>
        <w:pStyle w:val="Ttulo1"/>
        <w:spacing w:after="200"/>
      </w:pPr>
      <w:bookmarkStart w:id="9" w:name="_x1zgqs693hcd" w:colFirst="0" w:colLast="0"/>
      <w:bookmarkEnd w:id="9"/>
      <w:r>
        <w:t>DESARROLLO DEL PRODUCTO</w:t>
      </w:r>
    </w:p>
    <w:p w:rsidR="002619C5" w:rsidRDefault="008F5894">
      <w:pPr>
        <w:pStyle w:val="Normal1"/>
        <w:ind w:firstLine="720"/>
      </w:pPr>
      <w:r>
        <w:t xml:space="preserve">Para la producción de emulsiones, se debe trabajar con carnes que contengan buena capacidad de retención de agua (CRA); esto está determinado por el contenido de proteínas. </w:t>
      </w:r>
      <w:r>
        <w:lastRenderedPageBreak/>
        <w:t>La carne de jabalí contiene aproximadamente un 22 % de proteínas (</w:t>
      </w:r>
      <w:proofErr w:type="spellStart"/>
      <w:r>
        <w:t>MAGyP</w:t>
      </w:r>
      <w:proofErr w:type="spellEnd"/>
      <w:r>
        <w:t xml:space="preserve"> Argentina, 2016). Para determinar el CRA de forma directa, se realizan mediciones </w:t>
      </w:r>
      <w:proofErr w:type="spellStart"/>
      <w:r>
        <w:t>fotocolorimétricas</w:t>
      </w:r>
      <w:proofErr w:type="spellEnd"/>
      <w:r>
        <w:t xml:space="preserve"> en el sistema CIELAB con la coordenada L*, donde a mayor luminosidad, mayor exudado y, por ende, menor capacidad de retención de agua.</w:t>
      </w:r>
    </w:p>
    <w:p w:rsidR="002619C5" w:rsidRDefault="008F5894">
      <w:pPr>
        <w:pStyle w:val="Normal1"/>
        <w:ind w:firstLine="720"/>
      </w:pPr>
      <w:r>
        <w:t xml:space="preserve"> De forma indirecta también se determina el pH de la carne. Esto es debido a que, a mayor pH, las proteínas se encuentran más lejos de su punto isoeléctrico; por lo tanto, la CRA es elevada. Por otro lado, a menor pH cercano o en el punto isoeléctrico, la proteína se neutraliza parcial o totalmente y pierde la capacidad de retención de agua, característica inadecuada para la producción de emulsiones cárnicas. </w:t>
      </w:r>
    </w:p>
    <w:p w:rsidR="002619C5" w:rsidRDefault="008F5894">
      <w:pPr>
        <w:pStyle w:val="Normal1"/>
        <w:ind w:firstLine="720"/>
      </w:pPr>
      <w:r>
        <w:t xml:space="preserve">En cerdos, la carne tiene buena capacidad de retención de agua cuando la misma se encuentra en un rango de pH 5,6-6. El rango se tomará de referencia para la determinación de calidad tecnológica de carne de jabalí. </w:t>
      </w:r>
    </w:p>
    <w:p w:rsidR="002619C5" w:rsidRDefault="008F5894">
      <w:pPr>
        <w:pStyle w:val="Normal1"/>
      </w:pPr>
      <w:r>
        <w:tab/>
        <w:t xml:space="preserve">Otro factor importante a tener en cuenta en la determinación de la calidad tecnológica de la carne de jabalí es el punto de fusión de los lípidos más abundantes, ya que esto determina la temperatura máxima a la que se debe trabajar en el proceso </w:t>
      </w:r>
      <w:proofErr w:type="spellStart"/>
      <w:r>
        <w:t>cutterizado</w:t>
      </w:r>
      <w:proofErr w:type="spellEnd"/>
      <w:r>
        <w:t xml:space="preserve"> para evitar su fusión y posible desestabilización de la emulsión.</w:t>
      </w:r>
    </w:p>
    <w:p w:rsidR="002619C5" w:rsidRDefault="008F5894">
      <w:pPr>
        <w:pStyle w:val="Normal1"/>
        <w:ind w:firstLine="720"/>
      </w:pPr>
      <w:r>
        <w:t>Esta temperatura crítica está determinada por los ácidos grasos que contiene la materia grasa a agregar y la composición lipídica del hidrogel O/W elaborado con aceite de nuez pecan y chía.</w:t>
      </w:r>
    </w:p>
    <w:p w:rsidR="002619C5" w:rsidRDefault="008F5894">
      <w:pPr>
        <w:pStyle w:val="Ttulo2"/>
        <w:ind w:firstLine="720"/>
        <w:rPr>
          <w:sz w:val="24"/>
          <w:szCs w:val="24"/>
          <w:u w:val="single"/>
        </w:rPr>
      </w:pPr>
      <w:bookmarkStart w:id="10" w:name="_jedl96xfcc3d" w:colFirst="0" w:colLast="0"/>
      <w:bookmarkEnd w:id="10"/>
      <w:r>
        <w:rPr>
          <w:sz w:val="24"/>
          <w:szCs w:val="24"/>
          <w:u w:val="single"/>
        </w:rPr>
        <w:t xml:space="preserve">Hidrogel O/W con aceites de nuez </w:t>
      </w:r>
      <w:proofErr w:type="spellStart"/>
      <w:r>
        <w:rPr>
          <w:sz w:val="24"/>
          <w:szCs w:val="24"/>
          <w:u w:val="single"/>
        </w:rPr>
        <w:t>pecán</w:t>
      </w:r>
      <w:proofErr w:type="spellEnd"/>
      <w:r>
        <w:rPr>
          <w:sz w:val="24"/>
          <w:szCs w:val="24"/>
          <w:u w:val="single"/>
        </w:rPr>
        <w:t xml:space="preserve"> y chía.</w:t>
      </w:r>
    </w:p>
    <w:p w:rsidR="002619C5" w:rsidRDefault="008F5894">
      <w:pPr>
        <w:pStyle w:val="Normal1"/>
      </w:pPr>
      <w:r>
        <w:tab/>
        <w:t xml:space="preserve">La finalidad del agregado del hidrogel O/W con aceite de nuez </w:t>
      </w:r>
      <w:proofErr w:type="spellStart"/>
      <w:r>
        <w:t>pecán</w:t>
      </w:r>
      <w:proofErr w:type="spellEnd"/>
      <w:r>
        <w:t xml:space="preserve"> y chía es la mejora en el perfil lipídico del alimento. Este hidrogel fue desarrollado en la Facultad de Ciencias de la Alimentación de la Universidad Nacional de Entre Ríos en conjunto con el Instituto Nacional de Tecnología Agropecuaria (INTA-Castelar) y se encuentra todavía en desarrollo.</w:t>
      </w:r>
    </w:p>
    <w:p w:rsidR="002619C5" w:rsidRDefault="008F5894">
      <w:pPr>
        <w:pStyle w:val="Normal1"/>
        <w:ind w:firstLine="720"/>
      </w:pPr>
      <w:r>
        <w:t xml:space="preserve">Sin embargo, se plantea de forma teórica la viabilidad de usar la combinación más óptima de mezcla de aceites de </w:t>
      </w:r>
      <w:proofErr w:type="spellStart"/>
      <w:r>
        <w:t>pecán</w:t>
      </w:r>
      <w:proofErr w:type="spellEnd"/>
      <w:r>
        <w:t xml:space="preserve"> </w:t>
      </w:r>
      <w:r w:rsidR="00633478">
        <w:t>y chía en el estudio de (</w:t>
      </w:r>
      <w:proofErr w:type="spellStart"/>
      <w:r w:rsidR="00633478">
        <w:t>Jenko</w:t>
      </w:r>
      <w:proofErr w:type="spellEnd"/>
      <w:r w:rsidR="00633478">
        <w:t xml:space="preserve"> </w:t>
      </w:r>
      <w:r>
        <w:t>et al.</w:t>
      </w:r>
      <w:r w:rsidR="00633478">
        <w:t>,</w:t>
      </w:r>
      <w:r>
        <w:t xml:space="preserve"> 2026). Siendo </w:t>
      </w:r>
      <w:proofErr w:type="spellStart"/>
      <w:r>
        <w:t>esta</w:t>
      </w:r>
      <w:proofErr w:type="spellEnd"/>
      <w:r>
        <w:t xml:space="preserve"> en una proporción de aceite de </w:t>
      </w:r>
      <w:proofErr w:type="spellStart"/>
      <w:r>
        <w:t>pecán</w:t>
      </w:r>
      <w:proofErr w:type="spellEnd"/>
      <w:r>
        <w:t xml:space="preserve"> y chía en (75:25) y con el agregado de polisorbato 80 al </w:t>
      </w:r>
      <w:r>
        <w:lastRenderedPageBreak/>
        <w:t>1% como emulsionante. La proporción de la fase oleosa es de 35%. En el estudio se obtuvo una firmeza adecuada y sinéresis nula, permitiendo obtener una emulsión O/W estable y con adecuadas características, como se mencionó anteriormente.</w:t>
      </w:r>
    </w:p>
    <w:p w:rsidR="002619C5" w:rsidRDefault="008F5894">
      <w:pPr>
        <w:pStyle w:val="Normal1"/>
        <w:ind w:firstLine="720"/>
      </w:pPr>
      <w:r>
        <w:t>Con esta combinación se obtiene un hidrogel firme que aporta un perfil de ácidos grasos que se puede observar en la tabla 4; estos poseen un valor de 4:1 en la relación n6/n3, que aporta beneficios a la salud según investigaciones.</w:t>
      </w:r>
    </w:p>
    <w:p w:rsidR="002619C5" w:rsidRDefault="008F5894">
      <w:pPr>
        <w:pStyle w:val="Normal1"/>
        <w:spacing w:after="0"/>
        <w:ind w:firstLine="720"/>
        <w:rPr>
          <w:u w:val="single"/>
        </w:rPr>
      </w:pPr>
      <w:r>
        <w:rPr>
          <w:u w:val="single"/>
        </w:rPr>
        <w:t xml:space="preserve">Tabla 4. Concentración y perfil de ácidos grasos de la emulsión de aceites de </w:t>
      </w:r>
      <w:proofErr w:type="spellStart"/>
      <w:r>
        <w:rPr>
          <w:u w:val="single"/>
        </w:rPr>
        <w:t>pecán</w:t>
      </w:r>
      <w:proofErr w:type="spellEnd"/>
      <w:r>
        <w:rPr>
          <w:u w:val="single"/>
        </w:rPr>
        <w:t xml:space="preserve"> y chía (75:25) vehiculizados en el hidrogel.</w:t>
      </w:r>
    </w:p>
    <w:tbl>
      <w:tblPr>
        <w:tblStyle w:val="a3"/>
        <w:tblW w:w="4077" w:type="dxa"/>
        <w:tblInd w:w="2640" w:type="dxa"/>
        <w:tblBorders>
          <w:top w:val="nil"/>
          <w:left w:val="nil"/>
          <w:bottom w:val="nil"/>
          <w:right w:val="nil"/>
          <w:insideH w:val="nil"/>
          <w:insideV w:val="nil"/>
        </w:tblBorders>
        <w:tblLayout w:type="fixed"/>
        <w:tblLook w:val="0600" w:firstRow="0" w:lastRow="0" w:firstColumn="0" w:lastColumn="0" w:noHBand="1" w:noVBand="1"/>
      </w:tblPr>
      <w:tblGrid>
        <w:gridCol w:w="2082"/>
        <w:gridCol w:w="1995"/>
      </w:tblGrid>
      <w:tr w:rsidR="002619C5">
        <w:trPr>
          <w:cantSplit/>
          <w:trHeight w:val="500"/>
          <w:tblHeader/>
        </w:trPr>
        <w:tc>
          <w:tcPr>
            <w:tcW w:w="2082" w:type="dxa"/>
            <w:tcBorders>
              <w:top w:val="single" w:sz="12" w:space="0" w:color="000000"/>
              <w:left w:val="single" w:sz="8" w:space="0" w:color="FFFFFF"/>
              <w:bottom w:val="single" w:sz="12" w:space="0" w:color="000000"/>
              <w:right w:val="single" w:sz="8" w:space="0" w:color="FFFFFF"/>
            </w:tcBorders>
            <w:tcMar>
              <w:top w:w="56" w:type="dxa"/>
              <w:left w:w="56" w:type="dxa"/>
              <w:bottom w:w="56" w:type="dxa"/>
              <w:right w:w="56" w:type="dxa"/>
            </w:tcMar>
            <w:vAlign w:val="center"/>
          </w:tcPr>
          <w:p w:rsidR="002619C5" w:rsidRDefault="008F5894">
            <w:pPr>
              <w:pStyle w:val="Normal1"/>
              <w:spacing w:after="0" w:line="276" w:lineRule="auto"/>
              <w:jc w:val="center"/>
            </w:pPr>
            <w:r>
              <w:t>Ácidos grasos</w:t>
            </w:r>
          </w:p>
        </w:tc>
        <w:tc>
          <w:tcPr>
            <w:tcW w:w="1995" w:type="dxa"/>
            <w:tcBorders>
              <w:top w:val="single" w:sz="12" w:space="0" w:color="000000"/>
              <w:left w:val="single" w:sz="8" w:space="0" w:color="FFFFFF"/>
              <w:bottom w:val="single" w:sz="12" w:space="0" w:color="000000"/>
              <w:right w:val="single" w:sz="8" w:space="0" w:color="FFFFFF"/>
            </w:tcBorders>
            <w:tcMar>
              <w:top w:w="56" w:type="dxa"/>
              <w:left w:w="56" w:type="dxa"/>
              <w:bottom w:w="56" w:type="dxa"/>
              <w:right w:w="56" w:type="dxa"/>
            </w:tcMar>
            <w:vAlign w:val="center"/>
          </w:tcPr>
          <w:p w:rsidR="002619C5" w:rsidRDefault="008F5894">
            <w:pPr>
              <w:pStyle w:val="Normal1"/>
              <w:spacing w:after="0" w:line="276" w:lineRule="auto"/>
              <w:jc w:val="center"/>
            </w:pPr>
            <w:r>
              <w:t>g AG/100 g</w:t>
            </w:r>
          </w:p>
        </w:tc>
      </w:tr>
      <w:tr w:rsidR="002619C5">
        <w:trPr>
          <w:cantSplit/>
          <w:trHeight w:val="500"/>
          <w:tblHeader/>
        </w:trPr>
        <w:tc>
          <w:tcPr>
            <w:tcW w:w="2082" w:type="dxa"/>
            <w:tcBorders>
              <w:top w:val="single" w:sz="12" w:space="0" w:color="000000"/>
              <w:left w:val="nil"/>
              <w:bottom w:val="single" w:sz="8" w:space="0" w:color="000000"/>
              <w:right w:val="nil"/>
            </w:tcBorders>
            <w:tcMar>
              <w:top w:w="56" w:type="dxa"/>
              <w:left w:w="56" w:type="dxa"/>
              <w:bottom w:w="56" w:type="dxa"/>
              <w:right w:w="56" w:type="dxa"/>
            </w:tcMar>
            <w:vAlign w:val="center"/>
          </w:tcPr>
          <w:p w:rsidR="002619C5" w:rsidRDefault="008F5894">
            <w:pPr>
              <w:pStyle w:val="Normal1"/>
              <w:spacing w:after="0" w:line="276" w:lineRule="auto"/>
              <w:jc w:val="center"/>
            </w:pPr>
            <w:r>
              <w:t>14:00</w:t>
            </w:r>
          </w:p>
        </w:tc>
        <w:tc>
          <w:tcPr>
            <w:tcW w:w="1995" w:type="dxa"/>
            <w:tcBorders>
              <w:top w:val="single" w:sz="12" w:space="0" w:color="000000"/>
              <w:left w:val="nil"/>
              <w:bottom w:val="single" w:sz="8" w:space="0" w:color="000000"/>
              <w:right w:val="nil"/>
            </w:tcBorders>
            <w:tcMar>
              <w:top w:w="56" w:type="dxa"/>
              <w:left w:w="56" w:type="dxa"/>
              <w:bottom w:w="56" w:type="dxa"/>
              <w:right w:w="56" w:type="dxa"/>
            </w:tcMar>
            <w:vAlign w:val="center"/>
          </w:tcPr>
          <w:p w:rsidR="002619C5" w:rsidRDefault="008F5894">
            <w:pPr>
              <w:pStyle w:val="Normal1"/>
              <w:spacing w:after="0" w:line="276" w:lineRule="auto"/>
              <w:jc w:val="center"/>
            </w:pPr>
            <w:r>
              <w:t>0,01</w:t>
            </w:r>
          </w:p>
        </w:tc>
      </w:tr>
      <w:tr w:rsidR="002619C5">
        <w:trPr>
          <w:cantSplit/>
          <w:trHeight w:val="500"/>
          <w:tblHeader/>
        </w:trPr>
        <w:tc>
          <w:tcPr>
            <w:tcW w:w="2082" w:type="dxa"/>
            <w:tcBorders>
              <w:top w:val="single" w:sz="8" w:space="0" w:color="000000"/>
              <w:left w:val="nil"/>
              <w:bottom w:val="single" w:sz="8" w:space="0" w:color="000000"/>
              <w:right w:val="nil"/>
            </w:tcBorders>
            <w:tcMar>
              <w:top w:w="56" w:type="dxa"/>
              <w:left w:w="56" w:type="dxa"/>
              <w:bottom w:w="56" w:type="dxa"/>
              <w:right w:w="56" w:type="dxa"/>
            </w:tcMar>
            <w:vAlign w:val="center"/>
          </w:tcPr>
          <w:p w:rsidR="002619C5" w:rsidRDefault="008F5894">
            <w:pPr>
              <w:pStyle w:val="Normal1"/>
              <w:spacing w:after="0" w:line="276" w:lineRule="auto"/>
              <w:jc w:val="center"/>
            </w:pPr>
            <w:r>
              <w:t>16:00</w:t>
            </w:r>
          </w:p>
        </w:tc>
        <w:tc>
          <w:tcPr>
            <w:tcW w:w="1995" w:type="dxa"/>
            <w:tcBorders>
              <w:top w:val="single" w:sz="8" w:space="0" w:color="000000"/>
              <w:left w:val="nil"/>
              <w:bottom w:val="single" w:sz="8" w:space="0" w:color="000000"/>
              <w:right w:val="nil"/>
            </w:tcBorders>
            <w:tcMar>
              <w:top w:w="56" w:type="dxa"/>
              <w:left w:w="56" w:type="dxa"/>
              <w:bottom w:w="56" w:type="dxa"/>
              <w:right w:w="56" w:type="dxa"/>
            </w:tcMar>
            <w:vAlign w:val="center"/>
          </w:tcPr>
          <w:p w:rsidR="002619C5" w:rsidRDefault="008F5894">
            <w:pPr>
              <w:pStyle w:val="Normal1"/>
              <w:spacing w:after="0" w:line="276" w:lineRule="auto"/>
              <w:jc w:val="center"/>
            </w:pPr>
            <w:r>
              <w:t>0,73</w:t>
            </w:r>
          </w:p>
        </w:tc>
      </w:tr>
      <w:tr w:rsidR="002619C5">
        <w:trPr>
          <w:cantSplit/>
          <w:trHeight w:val="500"/>
          <w:tblHeader/>
        </w:trPr>
        <w:tc>
          <w:tcPr>
            <w:tcW w:w="2082" w:type="dxa"/>
            <w:tcBorders>
              <w:top w:val="single" w:sz="8" w:space="0" w:color="000000"/>
              <w:left w:val="nil"/>
              <w:bottom w:val="single" w:sz="8" w:space="0" w:color="000000"/>
              <w:right w:val="nil"/>
            </w:tcBorders>
            <w:tcMar>
              <w:top w:w="56" w:type="dxa"/>
              <w:left w:w="56" w:type="dxa"/>
              <w:bottom w:w="56" w:type="dxa"/>
              <w:right w:w="56" w:type="dxa"/>
            </w:tcMar>
            <w:vAlign w:val="center"/>
          </w:tcPr>
          <w:p w:rsidR="002619C5" w:rsidRDefault="008F5894">
            <w:pPr>
              <w:pStyle w:val="Normal1"/>
              <w:spacing w:after="0" w:line="276" w:lineRule="auto"/>
              <w:jc w:val="center"/>
            </w:pPr>
            <w:r>
              <w:t>18:00</w:t>
            </w:r>
          </w:p>
        </w:tc>
        <w:tc>
          <w:tcPr>
            <w:tcW w:w="1995" w:type="dxa"/>
            <w:tcBorders>
              <w:top w:val="single" w:sz="8" w:space="0" w:color="000000"/>
              <w:left w:val="nil"/>
              <w:bottom w:val="single" w:sz="8" w:space="0" w:color="000000"/>
              <w:right w:val="nil"/>
            </w:tcBorders>
            <w:tcMar>
              <w:top w:w="56" w:type="dxa"/>
              <w:left w:w="56" w:type="dxa"/>
              <w:bottom w:w="56" w:type="dxa"/>
              <w:right w:w="56" w:type="dxa"/>
            </w:tcMar>
            <w:vAlign w:val="center"/>
          </w:tcPr>
          <w:p w:rsidR="002619C5" w:rsidRDefault="008F5894">
            <w:pPr>
              <w:pStyle w:val="Normal1"/>
              <w:spacing w:after="0" w:line="276" w:lineRule="auto"/>
              <w:jc w:val="center"/>
            </w:pPr>
            <w:r>
              <w:t>0,31</w:t>
            </w:r>
          </w:p>
        </w:tc>
      </w:tr>
      <w:tr w:rsidR="002619C5">
        <w:trPr>
          <w:cantSplit/>
          <w:trHeight w:val="500"/>
          <w:tblHeader/>
        </w:trPr>
        <w:tc>
          <w:tcPr>
            <w:tcW w:w="2082" w:type="dxa"/>
            <w:tcBorders>
              <w:top w:val="single" w:sz="8" w:space="0" w:color="000000"/>
              <w:left w:val="nil"/>
              <w:bottom w:val="single" w:sz="8" w:space="0" w:color="000000"/>
              <w:right w:val="nil"/>
            </w:tcBorders>
            <w:tcMar>
              <w:top w:w="56" w:type="dxa"/>
              <w:left w:w="56" w:type="dxa"/>
              <w:bottom w:w="56" w:type="dxa"/>
              <w:right w:w="56" w:type="dxa"/>
            </w:tcMar>
            <w:vAlign w:val="center"/>
          </w:tcPr>
          <w:p w:rsidR="002619C5" w:rsidRDefault="008F5894">
            <w:pPr>
              <w:pStyle w:val="Normal1"/>
              <w:spacing w:after="0" w:line="276" w:lineRule="auto"/>
              <w:jc w:val="center"/>
            </w:pPr>
            <w:r>
              <w:t>18:1 (n9)</w:t>
            </w:r>
          </w:p>
        </w:tc>
        <w:tc>
          <w:tcPr>
            <w:tcW w:w="1995" w:type="dxa"/>
            <w:tcBorders>
              <w:top w:val="single" w:sz="8" w:space="0" w:color="000000"/>
              <w:left w:val="nil"/>
              <w:bottom w:val="single" w:sz="8" w:space="0" w:color="000000"/>
              <w:right w:val="nil"/>
            </w:tcBorders>
            <w:tcMar>
              <w:top w:w="56" w:type="dxa"/>
              <w:left w:w="56" w:type="dxa"/>
              <w:bottom w:w="56" w:type="dxa"/>
              <w:right w:w="56" w:type="dxa"/>
            </w:tcMar>
            <w:vAlign w:val="center"/>
          </w:tcPr>
          <w:p w:rsidR="002619C5" w:rsidRDefault="008F5894">
            <w:pPr>
              <w:pStyle w:val="Normal1"/>
              <w:spacing w:after="0" w:line="276" w:lineRule="auto"/>
              <w:jc w:val="center"/>
            </w:pPr>
            <w:r>
              <w:t>5,9</w:t>
            </w:r>
          </w:p>
        </w:tc>
      </w:tr>
      <w:tr w:rsidR="002619C5">
        <w:trPr>
          <w:cantSplit/>
          <w:trHeight w:val="500"/>
          <w:tblHeader/>
        </w:trPr>
        <w:tc>
          <w:tcPr>
            <w:tcW w:w="2082" w:type="dxa"/>
            <w:tcBorders>
              <w:top w:val="single" w:sz="8" w:space="0" w:color="000000"/>
              <w:left w:val="nil"/>
              <w:bottom w:val="single" w:sz="8" w:space="0" w:color="000000"/>
              <w:right w:val="nil"/>
            </w:tcBorders>
            <w:tcMar>
              <w:top w:w="56" w:type="dxa"/>
              <w:left w:w="56" w:type="dxa"/>
              <w:bottom w:w="56" w:type="dxa"/>
              <w:right w:w="56" w:type="dxa"/>
            </w:tcMar>
            <w:vAlign w:val="center"/>
          </w:tcPr>
          <w:p w:rsidR="002619C5" w:rsidRDefault="008F5894">
            <w:pPr>
              <w:pStyle w:val="Normal1"/>
              <w:spacing w:after="0" w:line="276" w:lineRule="auto"/>
              <w:jc w:val="center"/>
            </w:pPr>
            <w:r>
              <w:t>18:2 (n6)</w:t>
            </w:r>
          </w:p>
        </w:tc>
        <w:tc>
          <w:tcPr>
            <w:tcW w:w="1995" w:type="dxa"/>
            <w:tcBorders>
              <w:top w:val="single" w:sz="8" w:space="0" w:color="000000"/>
              <w:left w:val="nil"/>
              <w:bottom w:val="single" w:sz="8" w:space="0" w:color="000000"/>
              <w:right w:val="nil"/>
            </w:tcBorders>
            <w:tcMar>
              <w:top w:w="56" w:type="dxa"/>
              <w:left w:w="56" w:type="dxa"/>
              <w:bottom w:w="56" w:type="dxa"/>
              <w:right w:w="56" w:type="dxa"/>
            </w:tcMar>
            <w:vAlign w:val="center"/>
          </w:tcPr>
          <w:p w:rsidR="002619C5" w:rsidRDefault="008F5894">
            <w:pPr>
              <w:pStyle w:val="Normal1"/>
              <w:spacing w:after="0" w:line="276" w:lineRule="auto"/>
              <w:jc w:val="center"/>
            </w:pPr>
            <w:r>
              <w:t>3,06</w:t>
            </w:r>
          </w:p>
        </w:tc>
      </w:tr>
      <w:tr w:rsidR="002619C5">
        <w:trPr>
          <w:cantSplit/>
          <w:trHeight w:val="500"/>
          <w:tblHeader/>
        </w:trPr>
        <w:tc>
          <w:tcPr>
            <w:tcW w:w="2082" w:type="dxa"/>
            <w:tcBorders>
              <w:top w:val="single" w:sz="8" w:space="0" w:color="000000"/>
              <w:left w:val="nil"/>
              <w:bottom w:val="single" w:sz="8" w:space="0" w:color="000000"/>
              <w:right w:val="nil"/>
            </w:tcBorders>
            <w:tcMar>
              <w:top w:w="56" w:type="dxa"/>
              <w:left w:w="56" w:type="dxa"/>
              <w:bottom w:w="56" w:type="dxa"/>
              <w:right w:w="56" w:type="dxa"/>
            </w:tcMar>
            <w:vAlign w:val="center"/>
          </w:tcPr>
          <w:p w:rsidR="002619C5" w:rsidRDefault="008F5894">
            <w:pPr>
              <w:pStyle w:val="Normal1"/>
              <w:spacing w:after="0" w:line="276" w:lineRule="auto"/>
              <w:jc w:val="center"/>
            </w:pPr>
            <w:r>
              <w:t>18:3 (n3)</w:t>
            </w:r>
          </w:p>
        </w:tc>
        <w:tc>
          <w:tcPr>
            <w:tcW w:w="1995" w:type="dxa"/>
            <w:tcBorders>
              <w:top w:val="single" w:sz="8" w:space="0" w:color="000000"/>
              <w:left w:val="nil"/>
              <w:bottom w:val="single" w:sz="8" w:space="0" w:color="000000"/>
              <w:right w:val="nil"/>
            </w:tcBorders>
            <w:tcMar>
              <w:top w:w="56" w:type="dxa"/>
              <w:left w:w="56" w:type="dxa"/>
              <w:bottom w:w="56" w:type="dxa"/>
              <w:right w:w="56" w:type="dxa"/>
            </w:tcMar>
            <w:vAlign w:val="center"/>
          </w:tcPr>
          <w:p w:rsidR="002619C5" w:rsidRDefault="008F5894">
            <w:pPr>
              <w:pStyle w:val="Normal1"/>
              <w:spacing w:after="0" w:line="276" w:lineRule="auto"/>
              <w:jc w:val="center"/>
            </w:pPr>
            <w:r>
              <w:t>0,76</w:t>
            </w:r>
          </w:p>
        </w:tc>
      </w:tr>
      <w:tr w:rsidR="002619C5">
        <w:trPr>
          <w:cantSplit/>
          <w:trHeight w:val="500"/>
          <w:tblHeader/>
        </w:trPr>
        <w:tc>
          <w:tcPr>
            <w:tcW w:w="2082" w:type="dxa"/>
            <w:tcBorders>
              <w:top w:val="single" w:sz="8" w:space="0" w:color="000000"/>
              <w:left w:val="nil"/>
              <w:bottom w:val="single" w:sz="8" w:space="0" w:color="000000"/>
              <w:right w:val="nil"/>
            </w:tcBorders>
            <w:tcMar>
              <w:top w:w="56" w:type="dxa"/>
              <w:left w:w="56" w:type="dxa"/>
              <w:bottom w:w="56" w:type="dxa"/>
              <w:right w:w="56" w:type="dxa"/>
            </w:tcMar>
            <w:vAlign w:val="center"/>
          </w:tcPr>
          <w:p w:rsidR="002619C5" w:rsidRDefault="008F5894">
            <w:pPr>
              <w:pStyle w:val="Normal1"/>
              <w:spacing w:after="0" w:line="276" w:lineRule="auto"/>
              <w:jc w:val="center"/>
            </w:pPr>
            <w:r>
              <w:t>n6/n3</w:t>
            </w:r>
          </w:p>
        </w:tc>
        <w:tc>
          <w:tcPr>
            <w:tcW w:w="1995" w:type="dxa"/>
            <w:tcBorders>
              <w:top w:val="single" w:sz="8" w:space="0" w:color="000000"/>
              <w:left w:val="nil"/>
              <w:bottom w:val="single" w:sz="8" w:space="0" w:color="000000"/>
              <w:right w:val="nil"/>
            </w:tcBorders>
            <w:tcMar>
              <w:top w:w="56" w:type="dxa"/>
              <w:left w:w="56" w:type="dxa"/>
              <w:bottom w:w="56" w:type="dxa"/>
              <w:right w:w="56" w:type="dxa"/>
            </w:tcMar>
            <w:vAlign w:val="center"/>
          </w:tcPr>
          <w:p w:rsidR="002619C5" w:rsidRDefault="008F5894">
            <w:pPr>
              <w:pStyle w:val="Normal1"/>
              <w:spacing w:after="0" w:line="276" w:lineRule="auto"/>
              <w:jc w:val="center"/>
            </w:pPr>
            <w:r>
              <w:t>4,026</w:t>
            </w:r>
          </w:p>
        </w:tc>
      </w:tr>
    </w:tbl>
    <w:p w:rsidR="002619C5" w:rsidRDefault="008F5894">
      <w:pPr>
        <w:pStyle w:val="Normal1"/>
        <w:rPr>
          <w:i/>
          <w:iCs/>
        </w:rPr>
      </w:pPr>
      <w:r>
        <w:tab/>
      </w:r>
      <w:r w:rsidR="00023C20">
        <w:rPr>
          <w:i/>
          <w:iCs/>
        </w:rPr>
        <w:t>*Tabla extraída de (</w:t>
      </w:r>
      <w:proofErr w:type="spellStart"/>
      <w:r w:rsidR="00023C20">
        <w:rPr>
          <w:i/>
          <w:iCs/>
        </w:rPr>
        <w:t>Jenko</w:t>
      </w:r>
      <w:proofErr w:type="spellEnd"/>
      <w:r w:rsidR="00023C20">
        <w:rPr>
          <w:i/>
          <w:iCs/>
        </w:rPr>
        <w:t xml:space="preserve"> et al.,</w:t>
      </w:r>
      <w:r>
        <w:rPr>
          <w:i/>
          <w:iCs/>
        </w:rPr>
        <w:t xml:space="preserve"> 2026).</w:t>
      </w:r>
    </w:p>
    <w:p w:rsidR="002619C5" w:rsidRDefault="008F5894">
      <w:pPr>
        <w:pStyle w:val="Normal1"/>
        <w:ind w:firstLine="720"/>
      </w:pPr>
      <w:r>
        <w:tab/>
        <w:t>No obstante, por este alto contenido en ácidos insaturados, la estabilidad con respecto a la oxidación se puede ver comprometida, siendo necesario el agregado de BHT, como se realiza en el estudio, para contrarrestar sus efectos.</w:t>
      </w:r>
    </w:p>
    <w:p w:rsidR="002619C5" w:rsidRDefault="008F5894">
      <w:pPr>
        <w:pStyle w:val="Normal1"/>
        <w:ind w:firstLine="720"/>
      </w:pPr>
      <w:r>
        <w:t xml:space="preserve">El agregado de emulsión O/W al proceso de </w:t>
      </w:r>
      <w:proofErr w:type="spellStart"/>
      <w:r>
        <w:t>cutterizado</w:t>
      </w:r>
      <w:proofErr w:type="spellEnd"/>
      <w:r>
        <w:t xml:space="preserve"> de la mortadela se debe investigar a una mayor profundidad para conocer las condiciones adecuadas de uso y lograr un ajuste más fino del proceso; sin embargo, se escapa de los límites de este seminario. </w:t>
      </w:r>
    </w:p>
    <w:p w:rsidR="002619C5" w:rsidRDefault="008F5894">
      <w:pPr>
        <w:pStyle w:val="Normal1"/>
        <w:ind w:firstLine="720"/>
        <w:rPr>
          <w:u w:val="single"/>
        </w:rPr>
      </w:pPr>
      <w:r>
        <w:rPr>
          <w:u w:val="single"/>
        </w:rPr>
        <w:t xml:space="preserve">Formulación </w:t>
      </w:r>
    </w:p>
    <w:p w:rsidR="002619C5" w:rsidRDefault="008F5894">
      <w:pPr>
        <w:pStyle w:val="Normal1"/>
        <w:ind w:firstLine="720"/>
        <w:rPr>
          <w:highlight w:val="yellow"/>
        </w:rPr>
      </w:pPr>
      <w:r>
        <w:lastRenderedPageBreak/>
        <w:t xml:space="preserve">Se plantea la formulación de </w:t>
      </w:r>
      <w:r w:rsidR="00023C20">
        <w:t>una mortadela de</w:t>
      </w:r>
      <w:r>
        <w:t xml:space="preserve"> carne de jabalí, complementada con carne y tocino de cerdo. La sustitución total de la carne de cerdo no resulta conveniente, dado que la carne de jabalí puede presentar compuestos aromáticos que generen perfiles sensoriales poco familiares para los consumidores no habituados. Asimismo, la incorporación de trozos de nuez </w:t>
      </w:r>
      <w:proofErr w:type="spellStart"/>
      <w:r>
        <w:t>pecán</w:t>
      </w:r>
      <w:proofErr w:type="spellEnd"/>
      <w:r>
        <w:t xml:space="preserve"> y de una emulsión O/W elaborada con aceite de nuez </w:t>
      </w:r>
      <w:proofErr w:type="spellStart"/>
      <w:r>
        <w:t>pecán</w:t>
      </w:r>
      <w:proofErr w:type="spellEnd"/>
      <w:r>
        <w:t xml:space="preserve"> y chía aporta valor agregado funcional, tecnológico y nutricional, contribuy</w:t>
      </w:r>
      <w:r w:rsidR="00973120">
        <w:t>endo</w:t>
      </w:r>
      <w:r>
        <w:t xml:space="preserve"> a la difere</w:t>
      </w:r>
      <w:r w:rsidR="00973120">
        <w:t>nciación del producto</w:t>
      </w:r>
      <w:r>
        <w:t xml:space="preserve">. </w:t>
      </w:r>
    </w:p>
    <w:p w:rsidR="002619C5" w:rsidRDefault="008F5894">
      <w:pPr>
        <w:pStyle w:val="Normal1"/>
        <w:spacing w:before="80" w:after="0"/>
        <w:ind w:firstLine="720"/>
        <w:jc w:val="left"/>
        <w:rPr>
          <w:u w:val="single"/>
        </w:rPr>
      </w:pPr>
      <w:r>
        <w:rPr>
          <w:u w:val="single"/>
        </w:rPr>
        <w:t>Tabla 5: Formulación de la mortadela de jabalí</w:t>
      </w:r>
    </w:p>
    <w:tbl>
      <w:tblPr>
        <w:tblStyle w:val="a4"/>
        <w:tblW w:w="6195" w:type="dxa"/>
        <w:tblInd w:w="1473" w:type="dxa"/>
        <w:tblBorders>
          <w:top w:val="nil"/>
          <w:left w:val="nil"/>
          <w:bottom w:val="nil"/>
          <w:right w:val="nil"/>
          <w:insideH w:val="nil"/>
          <w:insideV w:val="nil"/>
        </w:tblBorders>
        <w:tblLayout w:type="fixed"/>
        <w:tblLook w:val="0600" w:firstRow="0" w:lastRow="0" w:firstColumn="0" w:lastColumn="0" w:noHBand="1" w:noVBand="1"/>
      </w:tblPr>
      <w:tblGrid>
        <w:gridCol w:w="3771"/>
        <w:gridCol w:w="2424"/>
      </w:tblGrid>
      <w:tr w:rsidR="002619C5" w:rsidTr="000109F9">
        <w:trPr>
          <w:cantSplit/>
          <w:trHeight w:val="453"/>
          <w:tblHeader/>
        </w:trPr>
        <w:tc>
          <w:tcPr>
            <w:tcW w:w="3771" w:type="dxa"/>
            <w:tcBorders>
              <w:top w:val="single" w:sz="12" w:space="0" w:color="000000"/>
              <w:left w:val="single" w:sz="12" w:space="0" w:color="FFFFFF"/>
              <w:bottom w:val="single" w:sz="12" w:space="0" w:color="000000"/>
              <w:right w:val="single" w:sz="12" w:space="0" w:color="FFFFFF"/>
            </w:tcBorders>
            <w:tcMar>
              <w:top w:w="56" w:type="dxa"/>
              <w:left w:w="56" w:type="dxa"/>
              <w:bottom w:w="56" w:type="dxa"/>
              <w:right w:w="56" w:type="dxa"/>
            </w:tcMar>
            <w:vAlign w:val="center"/>
          </w:tcPr>
          <w:p w:rsidR="002619C5" w:rsidRDefault="008F5894">
            <w:pPr>
              <w:pStyle w:val="Normal1"/>
              <w:spacing w:after="0" w:line="240" w:lineRule="auto"/>
              <w:jc w:val="center"/>
              <w:rPr>
                <w:b/>
                <w:bCs/>
              </w:rPr>
            </w:pPr>
            <w:r>
              <w:rPr>
                <w:b/>
                <w:bCs/>
              </w:rPr>
              <w:t xml:space="preserve">Materia prima </w:t>
            </w:r>
          </w:p>
        </w:tc>
        <w:tc>
          <w:tcPr>
            <w:tcW w:w="2424" w:type="dxa"/>
            <w:tcBorders>
              <w:top w:val="single" w:sz="12" w:space="0" w:color="000000"/>
              <w:left w:val="single" w:sz="12" w:space="0" w:color="FFFFFF"/>
              <w:bottom w:val="single" w:sz="12" w:space="0" w:color="000000"/>
              <w:right w:val="single" w:sz="12" w:space="0" w:color="FFFFFF"/>
            </w:tcBorders>
            <w:tcMar>
              <w:top w:w="56" w:type="dxa"/>
              <w:left w:w="56" w:type="dxa"/>
              <w:bottom w:w="56" w:type="dxa"/>
              <w:right w:w="56" w:type="dxa"/>
            </w:tcMar>
            <w:vAlign w:val="center"/>
          </w:tcPr>
          <w:p w:rsidR="002619C5" w:rsidRDefault="008F5894">
            <w:pPr>
              <w:pStyle w:val="Normal1"/>
              <w:spacing w:after="0" w:line="240" w:lineRule="auto"/>
              <w:jc w:val="center"/>
              <w:rPr>
                <w:b/>
                <w:bCs/>
              </w:rPr>
            </w:pPr>
            <w:r>
              <w:rPr>
                <w:b/>
                <w:bCs/>
              </w:rPr>
              <w:t>%</w:t>
            </w:r>
          </w:p>
        </w:tc>
      </w:tr>
      <w:tr w:rsidR="002619C5" w:rsidTr="000109F9">
        <w:trPr>
          <w:cantSplit/>
          <w:trHeight w:val="453"/>
          <w:tblHeader/>
        </w:trPr>
        <w:tc>
          <w:tcPr>
            <w:tcW w:w="3771" w:type="dxa"/>
            <w:tcBorders>
              <w:top w:val="single" w:sz="12"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spacing w:after="0" w:line="240" w:lineRule="auto"/>
              <w:jc w:val="center"/>
            </w:pPr>
            <w:r>
              <w:t xml:space="preserve">Lomo de jabalí </w:t>
            </w:r>
          </w:p>
        </w:tc>
        <w:tc>
          <w:tcPr>
            <w:tcW w:w="2424" w:type="dxa"/>
            <w:tcBorders>
              <w:top w:val="single" w:sz="12"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spacing w:after="0" w:line="240" w:lineRule="auto"/>
              <w:jc w:val="center"/>
            </w:pPr>
            <w:r>
              <w:t>25,</w:t>
            </w:r>
            <w:r w:rsidR="000109F9">
              <w:t>3</w:t>
            </w:r>
          </w:p>
        </w:tc>
      </w:tr>
      <w:tr w:rsidR="002619C5" w:rsidTr="000109F9">
        <w:trPr>
          <w:cantSplit/>
          <w:trHeight w:val="453"/>
          <w:tblHeader/>
        </w:trPr>
        <w:tc>
          <w:tcPr>
            <w:tcW w:w="3771" w:type="dxa"/>
            <w:tcBorders>
              <w:top w:val="single" w:sz="6" w:space="0" w:color="000000"/>
              <w:left w:val="single" w:sz="6" w:space="0" w:color="FFFFFF"/>
              <w:bottom w:val="single" w:sz="6" w:space="0" w:color="000000"/>
              <w:right w:val="single" w:sz="6" w:space="0" w:color="FFFFFF"/>
            </w:tcBorders>
            <w:shd w:val="clear" w:color="auto" w:fill="FFFFFF"/>
            <w:tcMar>
              <w:top w:w="56" w:type="dxa"/>
              <w:left w:w="56" w:type="dxa"/>
              <w:bottom w:w="56" w:type="dxa"/>
              <w:right w:w="56" w:type="dxa"/>
            </w:tcMar>
            <w:vAlign w:val="center"/>
          </w:tcPr>
          <w:p w:rsidR="002619C5" w:rsidRDefault="008F5894">
            <w:pPr>
              <w:pStyle w:val="Normal1"/>
              <w:spacing w:after="0" w:line="240" w:lineRule="auto"/>
              <w:jc w:val="center"/>
            </w:pPr>
            <w:r>
              <w:t xml:space="preserve">Paleta de cerdo </w:t>
            </w:r>
          </w:p>
        </w:tc>
        <w:tc>
          <w:tcPr>
            <w:tcW w:w="2424" w:type="dxa"/>
            <w:tcBorders>
              <w:top w:val="single" w:sz="6" w:space="0" w:color="000000"/>
              <w:left w:val="single" w:sz="6" w:space="0" w:color="FFFFFF"/>
              <w:bottom w:val="single" w:sz="6" w:space="0" w:color="000000"/>
              <w:right w:val="single" w:sz="6" w:space="0" w:color="FFFFFF"/>
            </w:tcBorders>
            <w:shd w:val="clear" w:color="auto" w:fill="FFFFFF"/>
            <w:tcMar>
              <w:top w:w="56" w:type="dxa"/>
              <w:left w:w="56" w:type="dxa"/>
              <w:bottom w:w="56" w:type="dxa"/>
              <w:right w:w="56" w:type="dxa"/>
            </w:tcMar>
            <w:vAlign w:val="center"/>
          </w:tcPr>
          <w:p w:rsidR="002619C5" w:rsidRDefault="008F5894">
            <w:pPr>
              <w:pStyle w:val="Normal1"/>
              <w:spacing w:after="0" w:line="240" w:lineRule="auto"/>
              <w:jc w:val="center"/>
            </w:pPr>
            <w:r>
              <w:t>25</w:t>
            </w:r>
          </w:p>
        </w:tc>
      </w:tr>
      <w:tr w:rsidR="002619C5" w:rsidTr="000109F9">
        <w:trPr>
          <w:cantSplit/>
          <w:trHeight w:val="453"/>
          <w:tblHeader/>
        </w:trPr>
        <w:tc>
          <w:tcPr>
            <w:tcW w:w="3771"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spacing w:after="0" w:line="240" w:lineRule="auto"/>
              <w:jc w:val="center"/>
            </w:pPr>
            <w:r>
              <w:t xml:space="preserve">Tocino de cerdo </w:t>
            </w:r>
          </w:p>
        </w:tc>
        <w:tc>
          <w:tcPr>
            <w:tcW w:w="2424"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0109F9">
            <w:pPr>
              <w:pStyle w:val="Normal1"/>
              <w:spacing w:after="0" w:line="240" w:lineRule="auto"/>
              <w:jc w:val="center"/>
            </w:pPr>
            <w:r>
              <w:t>11,5</w:t>
            </w:r>
          </w:p>
        </w:tc>
      </w:tr>
      <w:tr w:rsidR="002619C5" w:rsidTr="000109F9">
        <w:trPr>
          <w:cantSplit/>
          <w:trHeight w:val="453"/>
          <w:tblHeader/>
        </w:trPr>
        <w:tc>
          <w:tcPr>
            <w:tcW w:w="3771" w:type="dxa"/>
            <w:tcBorders>
              <w:top w:val="single" w:sz="6" w:space="0" w:color="000000"/>
              <w:left w:val="single" w:sz="6" w:space="0" w:color="FFFFFF"/>
              <w:bottom w:val="single" w:sz="6" w:space="0" w:color="000000"/>
              <w:right w:val="single" w:sz="6" w:space="0" w:color="FFFFFF"/>
            </w:tcBorders>
            <w:shd w:val="clear" w:color="auto" w:fill="FFFFFF"/>
            <w:tcMar>
              <w:top w:w="56" w:type="dxa"/>
              <w:left w:w="56" w:type="dxa"/>
              <w:bottom w:w="56" w:type="dxa"/>
              <w:right w:w="56" w:type="dxa"/>
            </w:tcMar>
            <w:vAlign w:val="center"/>
          </w:tcPr>
          <w:p w:rsidR="002619C5" w:rsidRDefault="008F5894">
            <w:pPr>
              <w:pStyle w:val="Normal1"/>
              <w:spacing w:after="0" w:line="240" w:lineRule="auto"/>
              <w:jc w:val="center"/>
            </w:pPr>
            <w:r>
              <w:t xml:space="preserve">Emulsión O/W </w:t>
            </w:r>
            <w:proofErr w:type="spellStart"/>
            <w:r>
              <w:t>pecán</w:t>
            </w:r>
            <w:proofErr w:type="spellEnd"/>
            <w:r>
              <w:t>-chía (70:25)</w:t>
            </w:r>
          </w:p>
        </w:tc>
        <w:tc>
          <w:tcPr>
            <w:tcW w:w="2424" w:type="dxa"/>
            <w:tcBorders>
              <w:top w:val="single" w:sz="6" w:space="0" w:color="000000"/>
              <w:left w:val="single" w:sz="6" w:space="0" w:color="FFFFFF"/>
              <w:bottom w:val="single" w:sz="6" w:space="0" w:color="000000"/>
              <w:right w:val="single" w:sz="6" w:space="0" w:color="FFFFFF"/>
            </w:tcBorders>
            <w:shd w:val="clear" w:color="auto" w:fill="FFFFFF"/>
            <w:tcMar>
              <w:top w:w="56" w:type="dxa"/>
              <w:left w:w="56" w:type="dxa"/>
              <w:bottom w:w="56" w:type="dxa"/>
              <w:right w:w="56" w:type="dxa"/>
            </w:tcMar>
            <w:vAlign w:val="center"/>
          </w:tcPr>
          <w:p w:rsidR="002619C5" w:rsidRDefault="008F5894">
            <w:pPr>
              <w:pStyle w:val="Normal1"/>
              <w:spacing w:after="0" w:line="240" w:lineRule="auto"/>
              <w:jc w:val="center"/>
            </w:pPr>
            <w:r>
              <w:t>6,5</w:t>
            </w:r>
          </w:p>
        </w:tc>
      </w:tr>
      <w:tr w:rsidR="002619C5" w:rsidTr="000109F9">
        <w:trPr>
          <w:cantSplit/>
          <w:trHeight w:val="453"/>
          <w:tblHeader/>
        </w:trPr>
        <w:tc>
          <w:tcPr>
            <w:tcW w:w="3771" w:type="dxa"/>
            <w:tcBorders>
              <w:top w:val="single" w:sz="6" w:space="0" w:color="000000"/>
              <w:left w:val="single" w:sz="6" w:space="0" w:color="FFFFFF"/>
              <w:bottom w:val="single" w:sz="6" w:space="0" w:color="000000"/>
              <w:right w:val="single" w:sz="6" w:space="0" w:color="FFFFFF"/>
            </w:tcBorders>
            <w:shd w:val="clear" w:color="auto" w:fill="FFFFFF"/>
            <w:tcMar>
              <w:top w:w="56" w:type="dxa"/>
              <w:left w:w="56" w:type="dxa"/>
              <w:bottom w:w="56" w:type="dxa"/>
              <w:right w:w="56" w:type="dxa"/>
            </w:tcMar>
            <w:vAlign w:val="center"/>
          </w:tcPr>
          <w:p w:rsidR="002619C5" w:rsidRDefault="008F5894">
            <w:pPr>
              <w:pStyle w:val="Normal1"/>
              <w:spacing w:after="0" w:line="240" w:lineRule="auto"/>
              <w:jc w:val="center"/>
            </w:pPr>
            <w:r>
              <w:t>Hielo/agua fría (0-4°C)</w:t>
            </w:r>
          </w:p>
        </w:tc>
        <w:tc>
          <w:tcPr>
            <w:tcW w:w="2424" w:type="dxa"/>
            <w:tcBorders>
              <w:top w:val="single" w:sz="6" w:space="0" w:color="000000"/>
              <w:left w:val="single" w:sz="6" w:space="0" w:color="FFFFFF"/>
              <w:bottom w:val="single" w:sz="6" w:space="0" w:color="000000"/>
              <w:right w:val="single" w:sz="6" w:space="0" w:color="FFFFFF"/>
            </w:tcBorders>
            <w:shd w:val="clear" w:color="auto" w:fill="FFFFFF"/>
            <w:tcMar>
              <w:top w:w="56" w:type="dxa"/>
              <w:left w:w="56" w:type="dxa"/>
              <w:bottom w:w="56" w:type="dxa"/>
              <w:right w:w="56" w:type="dxa"/>
            </w:tcMar>
            <w:vAlign w:val="center"/>
          </w:tcPr>
          <w:p w:rsidR="002619C5" w:rsidRDefault="000109F9">
            <w:pPr>
              <w:pStyle w:val="Normal1"/>
              <w:spacing w:after="0" w:line="240" w:lineRule="auto"/>
              <w:jc w:val="center"/>
            </w:pPr>
            <w:r>
              <w:t>19</w:t>
            </w:r>
          </w:p>
        </w:tc>
      </w:tr>
      <w:tr w:rsidR="002619C5" w:rsidTr="000109F9">
        <w:trPr>
          <w:cantSplit/>
          <w:trHeight w:val="453"/>
          <w:tblHeader/>
        </w:trPr>
        <w:tc>
          <w:tcPr>
            <w:tcW w:w="3771" w:type="dxa"/>
            <w:tcBorders>
              <w:top w:val="single" w:sz="6" w:space="0" w:color="000000"/>
              <w:left w:val="single" w:sz="6" w:space="0" w:color="FFFFFF"/>
              <w:bottom w:val="single" w:sz="6" w:space="0" w:color="000000"/>
              <w:right w:val="single" w:sz="6" w:space="0" w:color="FFFFFF"/>
            </w:tcBorders>
            <w:shd w:val="clear" w:color="auto" w:fill="FFFFFF"/>
            <w:tcMar>
              <w:top w:w="56" w:type="dxa"/>
              <w:left w:w="56" w:type="dxa"/>
              <w:bottom w:w="56" w:type="dxa"/>
              <w:right w:w="56" w:type="dxa"/>
            </w:tcMar>
            <w:vAlign w:val="center"/>
          </w:tcPr>
          <w:p w:rsidR="002619C5" w:rsidRDefault="008F5894">
            <w:pPr>
              <w:pStyle w:val="Normal1"/>
              <w:spacing w:after="0" w:line="240" w:lineRule="auto"/>
              <w:jc w:val="center"/>
            </w:pPr>
            <w:r>
              <w:t>Leche descremada en polvo</w:t>
            </w:r>
          </w:p>
        </w:tc>
        <w:tc>
          <w:tcPr>
            <w:tcW w:w="2424" w:type="dxa"/>
            <w:tcBorders>
              <w:top w:val="single" w:sz="6" w:space="0" w:color="000000"/>
              <w:left w:val="single" w:sz="6" w:space="0" w:color="FFFFFF"/>
              <w:bottom w:val="single" w:sz="6" w:space="0" w:color="000000"/>
              <w:right w:val="single" w:sz="6" w:space="0" w:color="FFFFFF"/>
            </w:tcBorders>
            <w:shd w:val="clear" w:color="auto" w:fill="FFFFFF"/>
            <w:tcMar>
              <w:top w:w="56" w:type="dxa"/>
              <w:left w:w="56" w:type="dxa"/>
              <w:bottom w:w="56" w:type="dxa"/>
              <w:right w:w="56" w:type="dxa"/>
            </w:tcMar>
            <w:vAlign w:val="center"/>
          </w:tcPr>
          <w:p w:rsidR="002619C5" w:rsidRDefault="008F5894">
            <w:pPr>
              <w:pStyle w:val="Normal1"/>
              <w:spacing w:after="0" w:line="240" w:lineRule="auto"/>
              <w:jc w:val="center"/>
            </w:pPr>
            <w:r>
              <w:t>2,5</w:t>
            </w:r>
          </w:p>
        </w:tc>
      </w:tr>
      <w:tr w:rsidR="002619C5" w:rsidTr="000109F9">
        <w:trPr>
          <w:cantSplit/>
          <w:trHeight w:val="453"/>
          <w:tblHeader/>
        </w:trPr>
        <w:tc>
          <w:tcPr>
            <w:tcW w:w="3771" w:type="dxa"/>
            <w:tcBorders>
              <w:top w:val="single" w:sz="6" w:space="0" w:color="000000"/>
              <w:left w:val="single" w:sz="6" w:space="0" w:color="FFFFFF"/>
              <w:bottom w:val="single" w:sz="6" w:space="0" w:color="000000"/>
              <w:right w:val="single" w:sz="6" w:space="0" w:color="FFFFFF"/>
            </w:tcBorders>
            <w:shd w:val="clear" w:color="auto" w:fill="FFFFFF"/>
            <w:tcMar>
              <w:top w:w="56" w:type="dxa"/>
              <w:left w:w="56" w:type="dxa"/>
              <w:bottom w:w="56" w:type="dxa"/>
              <w:right w:w="56" w:type="dxa"/>
            </w:tcMar>
            <w:vAlign w:val="center"/>
          </w:tcPr>
          <w:p w:rsidR="002619C5" w:rsidRDefault="008F5894">
            <w:pPr>
              <w:pStyle w:val="Normal1"/>
              <w:spacing w:after="0" w:line="240" w:lineRule="auto"/>
              <w:jc w:val="center"/>
            </w:pPr>
            <w:r>
              <w:t xml:space="preserve">Aislado de soja </w:t>
            </w:r>
          </w:p>
        </w:tc>
        <w:tc>
          <w:tcPr>
            <w:tcW w:w="2424" w:type="dxa"/>
            <w:tcBorders>
              <w:top w:val="single" w:sz="6" w:space="0" w:color="000000"/>
              <w:left w:val="single" w:sz="6" w:space="0" w:color="FFFFFF"/>
              <w:bottom w:val="single" w:sz="6" w:space="0" w:color="000000"/>
              <w:right w:val="single" w:sz="6" w:space="0" w:color="FFFFFF"/>
            </w:tcBorders>
            <w:shd w:val="clear" w:color="auto" w:fill="FFFFFF"/>
            <w:tcMar>
              <w:top w:w="56" w:type="dxa"/>
              <w:left w:w="56" w:type="dxa"/>
              <w:bottom w:w="56" w:type="dxa"/>
              <w:right w:w="56" w:type="dxa"/>
            </w:tcMar>
            <w:vAlign w:val="center"/>
          </w:tcPr>
          <w:p w:rsidR="002619C5" w:rsidRDefault="008F5894">
            <w:pPr>
              <w:pStyle w:val="Normal1"/>
              <w:spacing w:after="0" w:line="240" w:lineRule="auto"/>
              <w:jc w:val="center"/>
            </w:pPr>
            <w:r>
              <w:t>2</w:t>
            </w:r>
          </w:p>
        </w:tc>
      </w:tr>
      <w:tr w:rsidR="002619C5" w:rsidTr="000109F9">
        <w:trPr>
          <w:cantSplit/>
          <w:trHeight w:val="453"/>
          <w:tblHeader/>
        </w:trPr>
        <w:tc>
          <w:tcPr>
            <w:tcW w:w="3771" w:type="dxa"/>
            <w:tcBorders>
              <w:top w:val="single" w:sz="6" w:space="0" w:color="000000"/>
              <w:left w:val="single" w:sz="6" w:space="0" w:color="FFFFFF"/>
              <w:bottom w:val="single" w:sz="6" w:space="0" w:color="000000"/>
              <w:right w:val="single" w:sz="6" w:space="0" w:color="FFFFFF"/>
            </w:tcBorders>
            <w:shd w:val="clear" w:color="auto" w:fill="FFFFFF"/>
            <w:tcMar>
              <w:top w:w="56" w:type="dxa"/>
              <w:left w:w="56" w:type="dxa"/>
              <w:bottom w:w="56" w:type="dxa"/>
              <w:right w:w="56" w:type="dxa"/>
            </w:tcMar>
            <w:vAlign w:val="center"/>
          </w:tcPr>
          <w:p w:rsidR="002619C5" w:rsidRDefault="008F5894">
            <w:pPr>
              <w:pStyle w:val="Normal1"/>
              <w:spacing w:after="0" w:line="240" w:lineRule="auto"/>
              <w:jc w:val="center"/>
            </w:pPr>
            <w:r>
              <w:t xml:space="preserve">Nuez pecan en pedazos </w:t>
            </w:r>
          </w:p>
        </w:tc>
        <w:tc>
          <w:tcPr>
            <w:tcW w:w="2424" w:type="dxa"/>
            <w:tcBorders>
              <w:top w:val="single" w:sz="6" w:space="0" w:color="000000"/>
              <w:left w:val="single" w:sz="6" w:space="0" w:color="FFFFFF"/>
              <w:bottom w:val="single" w:sz="6" w:space="0" w:color="000000"/>
              <w:right w:val="single" w:sz="6" w:space="0" w:color="FFFFFF"/>
            </w:tcBorders>
            <w:shd w:val="clear" w:color="auto" w:fill="FFFFFF"/>
            <w:tcMar>
              <w:top w:w="56" w:type="dxa"/>
              <w:left w:w="56" w:type="dxa"/>
              <w:bottom w:w="56" w:type="dxa"/>
              <w:right w:w="56" w:type="dxa"/>
            </w:tcMar>
            <w:vAlign w:val="center"/>
          </w:tcPr>
          <w:p w:rsidR="002619C5" w:rsidRDefault="008F5894">
            <w:pPr>
              <w:pStyle w:val="Normal1"/>
              <w:spacing w:after="0" w:line="240" w:lineRule="auto"/>
              <w:jc w:val="center"/>
            </w:pPr>
            <w:r>
              <w:t>4</w:t>
            </w:r>
          </w:p>
        </w:tc>
      </w:tr>
      <w:tr w:rsidR="002619C5" w:rsidTr="000109F9">
        <w:trPr>
          <w:cantSplit/>
          <w:trHeight w:val="453"/>
          <w:tblHeader/>
        </w:trPr>
        <w:tc>
          <w:tcPr>
            <w:tcW w:w="3771" w:type="dxa"/>
            <w:tcBorders>
              <w:top w:val="single" w:sz="6" w:space="0" w:color="000000"/>
              <w:left w:val="single" w:sz="6" w:space="0" w:color="FFFFFF"/>
              <w:bottom w:val="single" w:sz="6" w:space="0" w:color="000000"/>
              <w:right w:val="single" w:sz="6" w:space="0" w:color="FFFFFF"/>
            </w:tcBorders>
            <w:shd w:val="clear" w:color="auto" w:fill="FFFFFF"/>
            <w:tcMar>
              <w:top w:w="56" w:type="dxa"/>
              <w:left w:w="56" w:type="dxa"/>
              <w:bottom w:w="56" w:type="dxa"/>
              <w:right w:w="56" w:type="dxa"/>
            </w:tcMar>
            <w:vAlign w:val="center"/>
          </w:tcPr>
          <w:p w:rsidR="002619C5" w:rsidRDefault="008F5894">
            <w:pPr>
              <w:pStyle w:val="Normal1"/>
              <w:spacing w:after="0" w:line="240" w:lineRule="auto"/>
              <w:jc w:val="center"/>
            </w:pPr>
            <w:r>
              <w:t xml:space="preserve">Polifosfato de sodio </w:t>
            </w:r>
          </w:p>
        </w:tc>
        <w:tc>
          <w:tcPr>
            <w:tcW w:w="2424" w:type="dxa"/>
            <w:tcBorders>
              <w:top w:val="single" w:sz="6" w:space="0" w:color="000000"/>
              <w:left w:val="single" w:sz="6" w:space="0" w:color="FFFFFF"/>
              <w:bottom w:val="single" w:sz="6" w:space="0" w:color="000000"/>
              <w:right w:val="single" w:sz="6" w:space="0" w:color="FFFFFF"/>
            </w:tcBorders>
            <w:shd w:val="clear" w:color="auto" w:fill="FFFFFF"/>
            <w:tcMar>
              <w:top w:w="56" w:type="dxa"/>
              <w:left w:w="56" w:type="dxa"/>
              <w:bottom w:w="56" w:type="dxa"/>
              <w:right w:w="56" w:type="dxa"/>
            </w:tcMar>
            <w:vAlign w:val="center"/>
          </w:tcPr>
          <w:p w:rsidR="002619C5" w:rsidRDefault="008F5894">
            <w:pPr>
              <w:pStyle w:val="Normal1"/>
              <w:spacing w:after="0" w:line="240" w:lineRule="auto"/>
              <w:jc w:val="center"/>
            </w:pPr>
            <w:r>
              <w:t>0,5</w:t>
            </w:r>
          </w:p>
        </w:tc>
      </w:tr>
      <w:tr w:rsidR="002619C5" w:rsidTr="000109F9">
        <w:trPr>
          <w:cantSplit/>
          <w:trHeight w:val="453"/>
          <w:tblHeader/>
        </w:trPr>
        <w:tc>
          <w:tcPr>
            <w:tcW w:w="3771" w:type="dxa"/>
            <w:tcBorders>
              <w:top w:val="single" w:sz="6" w:space="0" w:color="000000"/>
              <w:left w:val="single" w:sz="6" w:space="0" w:color="FFFFFF"/>
              <w:bottom w:val="single" w:sz="6" w:space="0" w:color="000000"/>
              <w:right w:val="single" w:sz="6" w:space="0" w:color="FFFFFF"/>
            </w:tcBorders>
            <w:shd w:val="clear" w:color="auto" w:fill="FFFFFF"/>
            <w:tcMar>
              <w:top w:w="56" w:type="dxa"/>
              <w:left w:w="56" w:type="dxa"/>
              <w:bottom w:w="56" w:type="dxa"/>
              <w:right w:w="56" w:type="dxa"/>
            </w:tcMar>
            <w:vAlign w:val="center"/>
          </w:tcPr>
          <w:p w:rsidR="002619C5" w:rsidRDefault="008F5894">
            <w:pPr>
              <w:pStyle w:val="Normal1"/>
              <w:spacing w:after="0" w:line="240" w:lineRule="auto"/>
              <w:jc w:val="center"/>
            </w:pPr>
            <w:r>
              <w:t>Ácido ascórbico</w:t>
            </w:r>
          </w:p>
        </w:tc>
        <w:tc>
          <w:tcPr>
            <w:tcW w:w="2424" w:type="dxa"/>
            <w:tcBorders>
              <w:top w:val="single" w:sz="6" w:space="0" w:color="000000"/>
              <w:left w:val="single" w:sz="6" w:space="0" w:color="FFFFFF"/>
              <w:bottom w:val="single" w:sz="6" w:space="0" w:color="000000"/>
              <w:right w:val="single" w:sz="6" w:space="0" w:color="FFFFFF"/>
            </w:tcBorders>
            <w:shd w:val="clear" w:color="auto" w:fill="FFFFFF"/>
            <w:tcMar>
              <w:top w:w="56" w:type="dxa"/>
              <w:left w:w="56" w:type="dxa"/>
              <w:bottom w:w="56" w:type="dxa"/>
              <w:right w:w="56" w:type="dxa"/>
            </w:tcMar>
            <w:vAlign w:val="center"/>
          </w:tcPr>
          <w:p w:rsidR="002619C5" w:rsidRDefault="008F5894">
            <w:pPr>
              <w:pStyle w:val="Normal1"/>
              <w:spacing w:after="0" w:line="240" w:lineRule="auto"/>
              <w:jc w:val="center"/>
            </w:pPr>
            <w:r>
              <w:t>0,05</w:t>
            </w:r>
          </w:p>
        </w:tc>
      </w:tr>
      <w:tr w:rsidR="002619C5" w:rsidTr="000109F9">
        <w:trPr>
          <w:cantSplit/>
          <w:trHeight w:val="453"/>
          <w:tblHeader/>
        </w:trPr>
        <w:tc>
          <w:tcPr>
            <w:tcW w:w="3771"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spacing w:after="0" w:line="240" w:lineRule="auto"/>
              <w:jc w:val="center"/>
            </w:pPr>
            <w:r>
              <w:t>Sal de cura (NaNO</w:t>
            </w:r>
            <w:r>
              <w:rPr>
                <w:vertAlign w:val="subscript"/>
              </w:rPr>
              <w:t>2</w:t>
            </w:r>
            <w:r>
              <w:t xml:space="preserve"> + NaCl)</w:t>
            </w:r>
          </w:p>
        </w:tc>
        <w:tc>
          <w:tcPr>
            <w:tcW w:w="2424" w:type="dxa"/>
            <w:tcBorders>
              <w:top w:val="single" w:sz="6" w:space="0" w:color="000000"/>
              <w:left w:val="single" w:sz="6" w:space="0" w:color="FFFFFF"/>
              <w:bottom w:val="single" w:sz="6" w:space="0" w:color="000000"/>
              <w:right w:val="single" w:sz="6" w:space="0" w:color="FFFFFF"/>
            </w:tcBorders>
            <w:tcMar>
              <w:top w:w="56" w:type="dxa"/>
              <w:left w:w="56" w:type="dxa"/>
              <w:bottom w:w="56" w:type="dxa"/>
              <w:right w:w="56" w:type="dxa"/>
            </w:tcMar>
            <w:vAlign w:val="center"/>
          </w:tcPr>
          <w:p w:rsidR="002619C5" w:rsidRDefault="008F5894">
            <w:pPr>
              <w:pStyle w:val="Normal1"/>
              <w:spacing w:after="0" w:line="240" w:lineRule="auto"/>
              <w:jc w:val="center"/>
            </w:pPr>
            <w:r>
              <w:t>0,3</w:t>
            </w:r>
          </w:p>
        </w:tc>
      </w:tr>
      <w:tr w:rsidR="002619C5" w:rsidTr="000109F9">
        <w:trPr>
          <w:cantSplit/>
          <w:trHeight w:val="453"/>
          <w:tblHeader/>
        </w:trPr>
        <w:tc>
          <w:tcPr>
            <w:tcW w:w="3771" w:type="dxa"/>
            <w:tcBorders>
              <w:top w:val="single" w:sz="6" w:space="0" w:color="000000"/>
              <w:left w:val="single" w:sz="6" w:space="0" w:color="FFFFFF"/>
              <w:bottom w:val="single" w:sz="6" w:space="0" w:color="000000"/>
              <w:right w:val="single" w:sz="6" w:space="0" w:color="FFFFFF"/>
            </w:tcBorders>
            <w:shd w:val="clear" w:color="auto" w:fill="FFFFFF"/>
            <w:tcMar>
              <w:top w:w="56" w:type="dxa"/>
              <w:left w:w="56" w:type="dxa"/>
              <w:bottom w:w="56" w:type="dxa"/>
              <w:right w:w="56" w:type="dxa"/>
            </w:tcMar>
            <w:vAlign w:val="center"/>
          </w:tcPr>
          <w:p w:rsidR="002619C5" w:rsidRDefault="008F5894">
            <w:pPr>
              <w:pStyle w:val="Normal1"/>
              <w:spacing w:after="0" w:line="240" w:lineRule="auto"/>
              <w:jc w:val="center"/>
            </w:pPr>
            <w:proofErr w:type="spellStart"/>
            <w:r>
              <w:t>Eritorbato</w:t>
            </w:r>
            <w:proofErr w:type="spellEnd"/>
            <w:r>
              <w:t xml:space="preserve"> de sodio </w:t>
            </w:r>
          </w:p>
        </w:tc>
        <w:tc>
          <w:tcPr>
            <w:tcW w:w="2424" w:type="dxa"/>
            <w:tcBorders>
              <w:top w:val="single" w:sz="6" w:space="0" w:color="000000"/>
              <w:left w:val="single" w:sz="6" w:space="0" w:color="FFFFFF"/>
              <w:bottom w:val="single" w:sz="6" w:space="0" w:color="000000"/>
              <w:right w:val="single" w:sz="6" w:space="0" w:color="FFFFFF"/>
            </w:tcBorders>
            <w:shd w:val="clear" w:color="auto" w:fill="FFFFFF"/>
            <w:tcMar>
              <w:top w:w="56" w:type="dxa"/>
              <w:left w:w="56" w:type="dxa"/>
              <w:bottom w:w="56" w:type="dxa"/>
              <w:right w:w="56" w:type="dxa"/>
            </w:tcMar>
            <w:vAlign w:val="center"/>
          </w:tcPr>
          <w:p w:rsidR="002619C5" w:rsidRDefault="008F5894">
            <w:pPr>
              <w:pStyle w:val="Normal1"/>
              <w:spacing w:after="0" w:line="240" w:lineRule="auto"/>
              <w:jc w:val="center"/>
            </w:pPr>
            <w:r>
              <w:t>0,05</w:t>
            </w:r>
          </w:p>
        </w:tc>
      </w:tr>
      <w:tr w:rsidR="002619C5" w:rsidTr="000109F9">
        <w:trPr>
          <w:cantSplit/>
          <w:trHeight w:val="453"/>
          <w:tblHeader/>
        </w:trPr>
        <w:tc>
          <w:tcPr>
            <w:tcW w:w="3771" w:type="dxa"/>
            <w:tcBorders>
              <w:top w:val="single" w:sz="6" w:space="0" w:color="000000"/>
              <w:left w:val="single" w:sz="6" w:space="0" w:color="FFFFFF"/>
              <w:bottom w:val="single" w:sz="6" w:space="0" w:color="000000"/>
              <w:right w:val="single" w:sz="6" w:space="0" w:color="FFFFFF"/>
            </w:tcBorders>
            <w:shd w:val="clear" w:color="auto" w:fill="FFFFFF"/>
            <w:tcMar>
              <w:top w:w="56" w:type="dxa"/>
              <w:left w:w="56" w:type="dxa"/>
              <w:bottom w:w="56" w:type="dxa"/>
              <w:right w:w="56" w:type="dxa"/>
            </w:tcMar>
            <w:vAlign w:val="center"/>
          </w:tcPr>
          <w:p w:rsidR="002619C5" w:rsidRDefault="008F5894">
            <w:pPr>
              <w:pStyle w:val="Normal1"/>
              <w:spacing w:after="0" w:line="240" w:lineRule="auto"/>
              <w:jc w:val="center"/>
            </w:pPr>
            <w:r>
              <w:t xml:space="preserve">Glutamato monosódico (GMS) </w:t>
            </w:r>
          </w:p>
        </w:tc>
        <w:tc>
          <w:tcPr>
            <w:tcW w:w="2424" w:type="dxa"/>
            <w:tcBorders>
              <w:top w:val="single" w:sz="6" w:space="0" w:color="000000"/>
              <w:left w:val="single" w:sz="6" w:space="0" w:color="FFFFFF"/>
              <w:bottom w:val="single" w:sz="6" w:space="0" w:color="000000"/>
              <w:right w:val="single" w:sz="6" w:space="0" w:color="FFFFFF"/>
            </w:tcBorders>
            <w:shd w:val="clear" w:color="auto" w:fill="FFFFFF"/>
            <w:tcMar>
              <w:top w:w="56" w:type="dxa"/>
              <w:left w:w="56" w:type="dxa"/>
              <w:bottom w:w="56" w:type="dxa"/>
              <w:right w:w="56" w:type="dxa"/>
            </w:tcMar>
            <w:vAlign w:val="center"/>
          </w:tcPr>
          <w:p w:rsidR="002619C5" w:rsidRDefault="008F5894">
            <w:pPr>
              <w:pStyle w:val="Normal1"/>
              <w:spacing w:after="0" w:line="240" w:lineRule="auto"/>
              <w:jc w:val="center"/>
            </w:pPr>
            <w:r>
              <w:t>0,03</w:t>
            </w:r>
          </w:p>
        </w:tc>
      </w:tr>
      <w:tr w:rsidR="002619C5" w:rsidTr="000109F9">
        <w:trPr>
          <w:cantSplit/>
          <w:trHeight w:val="453"/>
          <w:tblHeader/>
        </w:trPr>
        <w:tc>
          <w:tcPr>
            <w:tcW w:w="3771" w:type="dxa"/>
            <w:tcBorders>
              <w:top w:val="single" w:sz="6" w:space="0" w:color="000000"/>
              <w:left w:val="single" w:sz="6" w:space="0" w:color="FFFFFF"/>
              <w:bottom w:val="single" w:sz="6" w:space="0" w:color="000000"/>
              <w:right w:val="single" w:sz="6" w:space="0" w:color="FFFFFF"/>
            </w:tcBorders>
            <w:shd w:val="clear" w:color="auto" w:fill="FFFFFF"/>
            <w:tcMar>
              <w:top w:w="56" w:type="dxa"/>
              <w:left w:w="56" w:type="dxa"/>
              <w:bottom w:w="56" w:type="dxa"/>
              <w:right w:w="56" w:type="dxa"/>
            </w:tcMar>
            <w:vAlign w:val="center"/>
          </w:tcPr>
          <w:p w:rsidR="002619C5" w:rsidRDefault="008F5894">
            <w:pPr>
              <w:pStyle w:val="Normal1"/>
              <w:spacing w:after="0" w:line="240" w:lineRule="auto"/>
              <w:jc w:val="center"/>
            </w:pPr>
            <w:r>
              <w:t>Cloruro de sodio</w:t>
            </w:r>
          </w:p>
        </w:tc>
        <w:tc>
          <w:tcPr>
            <w:tcW w:w="2424" w:type="dxa"/>
            <w:tcBorders>
              <w:top w:val="single" w:sz="6" w:space="0" w:color="000000"/>
              <w:left w:val="single" w:sz="6" w:space="0" w:color="FFFFFF"/>
              <w:bottom w:val="single" w:sz="6" w:space="0" w:color="000000"/>
              <w:right w:val="single" w:sz="6" w:space="0" w:color="FFFFFF"/>
            </w:tcBorders>
            <w:shd w:val="clear" w:color="auto" w:fill="FFFFFF"/>
            <w:tcMar>
              <w:top w:w="56" w:type="dxa"/>
              <w:left w:w="56" w:type="dxa"/>
              <w:bottom w:w="56" w:type="dxa"/>
              <w:right w:w="56" w:type="dxa"/>
            </w:tcMar>
            <w:vAlign w:val="center"/>
          </w:tcPr>
          <w:p w:rsidR="002619C5" w:rsidRDefault="008F5894">
            <w:pPr>
              <w:pStyle w:val="Normal1"/>
              <w:spacing w:after="0" w:line="240" w:lineRule="auto"/>
              <w:jc w:val="center"/>
            </w:pPr>
            <w:r>
              <w:t>1,8</w:t>
            </w:r>
          </w:p>
        </w:tc>
      </w:tr>
      <w:tr w:rsidR="002619C5" w:rsidTr="000109F9">
        <w:trPr>
          <w:cantSplit/>
          <w:trHeight w:val="453"/>
          <w:tblHeader/>
        </w:trPr>
        <w:tc>
          <w:tcPr>
            <w:tcW w:w="3771" w:type="dxa"/>
            <w:tcBorders>
              <w:top w:val="single" w:sz="6" w:space="0" w:color="000000"/>
              <w:left w:val="single" w:sz="6" w:space="0" w:color="FFFFFF"/>
              <w:bottom w:val="single" w:sz="6" w:space="0" w:color="000000"/>
              <w:right w:val="single" w:sz="6" w:space="0" w:color="FFFFFF"/>
            </w:tcBorders>
            <w:shd w:val="clear" w:color="auto" w:fill="FFFFFF"/>
            <w:tcMar>
              <w:top w:w="56" w:type="dxa"/>
              <w:left w:w="56" w:type="dxa"/>
              <w:bottom w:w="56" w:type="dxa"/>
              <w:right w:w="56" w:type="dxa"/>
            </w:tcMar>
            <w:vAlign w:val="center"/>
          </w:tcPr>
          <w:p w:rsidR="002619C5" w:rsidRDefault="008F5894">
            <w:pPr>
              <w:pStyle w:val="Normal1"/>
              <w:spacing w:after="0" w:line="240" w:lineRule="auto"/>
              <w:jc w:val="center"/>
            </w:pPr>
            <w:r>
              <w:t>Pimienta blanca molida</w:t>
            </w:r>
          </w:p>
        </w:tc>
        <w:tc>
          <w:tcPr>
            <w:tcW w:w="2424" w:type="dxa"/>
            <w:tcBorders>
              <w:top w:val="single" w:sz="6" w:space="0" w:color="000000"/>
              <w:left w:val="single" w:sz="6" w:space="0" w:color="FFFFFF"/>
              <w:bottom w:val="single" w:sz="6" w:space="0" w:color="000000"/>
              <w:right w:val="single" w:sz="6" w:space="0" w:color="FFFFFF"/>
            </w:tcBorders>
            <w:shd w:val="clear" w:color="auto" w:fill="FFFFFF"/>
            <w:tcMar>
              <w:top w:w="56" w:type="dxa"/>
              <w:left w:w="56" w:type="dxa"/>
              <w:bottom w:w="56" w:type="dxa"/>
              <w:right w:w="56" w:type="dxa"/>
            </w:tcMar>
            <w:vAlign w:val="center"/>
          </w:tcPr>
          <w:p w:rsidR="002619C5" w:rsidRDefault="008F5894">
            <w:pPr>
              <w:pStyle w:val="Normal1"/>
              <w:spacing w:after="0" w:line="240" w:lineRule="auto"/>
              <w:jc w:val="center"/>
            </w:pPr>
            <w:r>
              <w:t>0,19</w:t>
            </w:r>
          </w:p>
        </w:tc>
      </w:tr>
      <w:tr w:rsidR="002619C5" w:rsidTr="000109F9">
        <w:trPr>
          <w:cantSplit/>
          <w:trHeight w:val="453"/>
          <w:tblHeader/>
        </w:trPr>
        <w:tc>
          <w:tcPr>
            <w:tcW w:w="3771" w:type="dxa"/>
            <w:tcBorders>
              <w:top w:val="single" w:sz="6" w:space="0" w:color="000000"/>
              <w:left w:val="single" w:sz="6" w:space="0" w:color="FFFFFF"/>
              <w:bottom w:val="single" w:sz="6" w:space="0" w:color="000000"/>
              <w:right w:val="single" w:sz="6" w:space="0" w:color="FFFFFF"/>
            </w:tcBorders>
            <w:shd w:val="clear" w:color="auto" w:fill="FFFFFF"/>
            <w:tcMar>
              <w:top w:w="56" w:type="dxa"/>
              <w:left w:w="56" w:type="dxa"/>
              <w:bottom w:w="56" w:type="dxa"/>
              <w:right w:w="56" w:type="dxa"/>
            </w:tcMar>
            <w:vAlign w:val="center"/>
          </w:tcPr>
          <w:p w:rsidR="002619C5" w:rsidRDefault="008F5894">
            <w:pPr>
              <w:pStyle w:val="Normal1"/>
              <w:spacing w:after="0" w:line="240" w:lineRule="auto"/>
              <w:jc w:val="center"/>
            </w:pPr>
            <w:proofErr w:type="gramStart"/>
            <w:r>
              <w:lastRenderedPageBreak/>
              <w:t>Pimienta  negra</w:t>
            </w:r>
            <w:proofErr w:type="gramEnd"/>
            <w:r>
              <w:t xml:space="preserve"> molida </w:t>
            </w:r>
          </w:p>
        </w:tc>
        <w:tc>
          <w:tcPr>
            <w:tcW w:w="2424" w:type="dxa"/>
            <w:tcBorders>
              <w:top w:val="single" w:sz="6" w:space="0" w:color="000000"/>
              <w:left w:val="single" w:sz="6" w:space="0" w:color="FFFFFF"/>
              <w:bottom w:val="single" w:sz="6" w:space="0" w:color="000000"/>
              <w:right w:val="single" w:sz="6" w:space="0" w:color="FFFFFF"/>
            </w:tcBorders>
            <w:shd w:val="clear" w:color="auto" w:fill="FFFFFF"/>
            <w:tcMar>
              <w:top w:w="56" w:type="dxa"/>
              <w:left w:w="56" w:type="dxa"/>
              <w:bottom w:w="56" w:type="dxa"/>
              <w:right w:w="56" w:type="dxa"/>
            </w:tcMar>
            <w:vAlign w:val="center"/>
          </w:tcPr>
          <w:p w:rsidR="002619C5" w:rsidRDefault="008F5894">
            <w:pPr>
              <w:pStyle w:val="Normal1"/>
              <w:spacing w:after="0" w:line="240" w:lineRule="auto"/>
              <w:jc w:val="center"/>
            </w:pPr>
            <w:r>
              <w:t>0,19</w:t>
            </w:r>
          </w:p>
        </w:tc>
      </w:tr>
      <w:tr w:rsidR="002619C5" w:rsidTr="000109F9">
        <w:trPr>
          <w:cantSplit/>
          <w:trHeight w:val="453"/>
          <w:tblHeader/>
        </w:trPr>
        <w:tc>
          <w:tcPr>
            <w:tcW w:w="3771" w:type="dxa"/>
            <w:tcBorders>
              <w:top w:val="single" w:sz="6" w:space="0" w:color="000000"/>
              <w:left w:val="single" w:sz="6" w:space="0" w:color="FFFFFF"/>
              <w:bottom w:val="single" w:sz="6" w:space="0" w:color="000000"/>
              <w:right w:val="single" w:sz="6" w:space="0" w:color="FFFFFF"/>
            </w:tcBorders>
            <w:shd w:val="clear" w:color="auto" w:fill="FFFFFF"/>
            <w:tcMar>
              <w:top w:w="56" w:type="dxa"/>
              <w:left w:w="56" w:type="dxa"/>
              <w:bottom w:w="56" w:type="dxa"/>
              <w:right w:w="56" w:type="dxa"/>
            </w:tcMar>
            <w:vAlign w:val="center"/>
          </w:tcPr>
          <w:p w:rsidR="002619C5" w:rsidRDefault="008F5894">
            <w:pPr>
              <w:pStyle w:val="Normal1"/>
              <w:spacing w:after="0" w:line="240" w:lineRule="auto"/>
              <w:jc w:val="center"/>
            </w:pPr>
            <w:r>
              <w:t xml:space="preserve">Nuez moscada </w:t>
            </w:r>
          </w:p>
        </w:tc>
        <w:tc>
          <w:tcPr>
            <w:tcW w:w="2424" w:type="dxa"/>
            <w:tcBorders>
              <w:top w:val="single" w:sz="6" w:space="0" w:color="000000"/>
              <w:left w:val="single" w:sz="6" w:space="0" w:color="FFFFFF"/>
              <w:bottom w:val="single" w:sz="6" w:space="0" w:color="000000"/>
              <w:right w:val="single" w:sz="6" w:space="0" w:color="FFFFFF"/>
            </w:tcBorders>
            <w:shd w:val="clear" w:color="auto" w:fill="FFFFFF"/>
            <w:tcMar>
              <w:top w:w="56" w:type="dxa"/>
              <w:left w:w="56" w:type="dxa"/>
              <w:bottom w:w="56" w:type="dxa"/>
              <w:right w:w="56" w:type="dxa"/>
            </w:tcMar>
            <w:vAlign w:val="center"/>
          </w:tcPr>
          <w:p w:rsidR="002619C5" w:rsidRDefault="008F5894">
            <w:pPr>
              <w:pStyle w:val="Normal1"/>
              <w:spacing w:after="0" w:line="240" w:lineRule="auto"/>
              <w:jc w:val="center"/>
            </w:pPr>
            <w:r>
              <w:t>0,07</w:t>
            </w:r>
          </w:p>
        </w:tc>
      </w:tr>
      <w:tr w:rsidR="002619C5" w:rsidTr="000109F9">
        <w:trPr>
          <w:cantSplit/>
          <w:trHeight w:val="453"/>
          <w:tblHeader/>
        </w:trPr>
        <w:tc>
          <w:tcPr>
            <w:tcW w:w="3771" w:type="dxa"/>
            <w:tcBorders>
              <w:top w:val="single" w:sz="6" w:space="0" w:color="000000"/>
              <w:left w:val="single" w:sz="6" w:space="0" w:color="FFFFFF"/>
              <w:bottom w:val="single" w:sz="6" w:space="0" w:color="000000"/>
              <w:right w:val="single" w:sz="6" w:space="0" w:color="FFFFFF"/>
            </w:tcBorders>
            <w:shd w:val="clear" w:color="auto" w:fill="FFFFFF"/>
            <w:tcMar>
              <w:top w:w="56" w:type="dxa"/>
              <w:left w:w="56" w:type="dxa"/>
              <w:bottom w:w="56" w:type="dxa"/>
              <w:right w:w="56" w:type="dxa"/>
            </w:tcMar>
            <w:vAlign w:val="center"/>
          </w:tcPr>
          <w:p w:rsidR="002619C5" w:rsidRDefault="008F5894">
            <w:pPr>
              <w:pStyle w:val="Normal1"/>
              <w:spacing w:after="0" w:line="240" w:lineRule="auto"/>
              <w:jc w:val="center"/>
            </w:pPr>
            <w:r>
              <w:t>Condimento mortadela</w:t>
            </w:r>
          </w:p>
        </w:tc>
        <w:tc>
          <w:tcPr>
            <w:tcW w:w="2424" w:type="dxa"/>
            <w:tcBorders>
              <w:top w:val="single" w:sz="6" w:space="0" w:color="000000"/>
              <w:left w:val="single" w:sz="6" w:space="0" w:color="FFFFFF"/>
              <w:bottom w:val="single" w:sz="6" w:space="0" w:color="000000"/>
              <w:right w:val="single" w:sz="6" w:space="0" w:color="FFFFFF"/>
            </w:tcBorders>
            <w:shd w:val="clear" w:color="auto" w:fill="FFFFFF"/>
            <w:tcMar>
              <w:top w:w="56" w:type="dxa"/>
              <w:left w:w="56" w:type="dxa"/>
              <w:bottom w:w="56" w:type="dxa"/>
              <w:right w:w="56" w:type="dxa"/>
            </w:tcMar>
            <w:vAlign w:val="center"/>
          </w:tcPr>
          <w:p w:rsidR="002619C5" w:rsidRDefault="008F5894">
            <w:pPr>
              <w:pStyle w:val="Normal1"/>
              <w:spacing w:after="0" w:line="240" w:lineRule="auto"/>
              <w:jc w:val="center"/>
            </w:pPr>
            <w:r>
              <w:t>1</w:t>
            </w:r>
          </w:p>
        </w:tc>
      </w:tr>
    </w:tbl>
    <w:p w:rsidR="002619C5" w:rsidRDefault="008F5894" w:rsidP="00023C20">
      <w:pPr>
        <w:pStyle w:val="Normal1"/>
        <w:spacing w:before="200"/>
      </w:pPr>
      <w:r>
        <w:t xml:space="preserve">La emulsión de O/W de aceite pecan y chía se plantea que este formando parte de la emulsión cárnica reemplazando parte de la materia grasa que se reduce en el proceso de </w:t>
      </w:r>
      <w:proofErr w:type="spellStart"/>
      <w:r>
        <w:t>cuterrizado</w:t>
      </w:r>
      <w:proofErr w:type="spellEnd"/>
      <w:r>
        <w:t>. La composición de esta emulsión posee 0,01% de BHT, usado como antioxidante para contrarrestar el efecto de la oxidación lipídica de la emulsión O/W, y en la fase acuosa se le adiciona un 2% de k-</w:t>
      </w:r>
      <w:proofErr w:type="spellStart"/>
      <w:r>
        <w:t>carragenina</w:t>
      </w:r>
      <w:proofErr w:type="spellEnd"/>
      <w:r>
        <w:t>. Estos porcentajes se basaron en los máximos admitidos para chacinados frescos según el CAA. Se han realizado los cálculos pertinentes para saber hasta qué porcentaje de la materia grasa presente en la emulsión cárnica se podría reemplazar por la emulsión O/W, teniendo en cuenta los límites máximos permitidos de estos dos componentes con respecto al peso del producto final, y dio un máximo del 38%; esto es superior a la grasa total en una formulación estándar.</w:t>
      </w:r>
    </w:p>
    <w:p w:rsidR="002619C5" w:rsidRDefault="008F5894" w:rsidP="00023C20">
      <w:pPr>
        <w:pStyle w:val="Ttulo2"/>
        <w:spacing w:after="200"/>
        <w:ind w:firstLine="720"/>
        <w:rPr>
          <w:sz w:val="24"/>
          <w:szCs w:val="24"/>
          <w:u w:val="single"/>
        </w:rPr>
      </w:pPr>
      <w:bookmarkStart w:id="11" w:name="_8rpw264efp3w" w:colFirst="0" w:colLast="0"/>
      <w:bookmarkEnd w:id="11"/>
      <w:r>
        <w:rPr>
          <w:sz w:val="24"/>
          <w:szCs w:val="24"/>
          <w:u w:val="single"/>
        </w:rPr>
        <w:t>Procedimiento de obtención del producto</w:t>
      </w:r>
    </w:p>
    <w:p w:rsidR="002619C5" w:rsidRDefault="008F5894">
      <w:pPr>
        <w:pStyle w:val="Normal1"/>
        <w:ind w:firstLine="720"/>
      </w:pPr>
      <w:r>
        <w:t xml:space="preserve">El proceso se inicia con la recepción y control de calidad de la materia prima (carne de jabalí, cerdo y tocino de cerdo), seguido de la reducción de tamaño mediante </w:t>
      </w:r>
      <w:proofErr w:type="spellStart"/>
      <w:r>
        <w:t>cubeteado</w:t>
      </w:r>
      <w:proofErr w:type="spellEnd"/>
      <w:r>
        <w:t xml:space="preserve">.  </w:t>
      </w:r>
    </w:p>
    <w:p w:rsidR="002619C5" w:rsidRDefault="008F5894">
      <w:pPr>
        <w:pStyle w:val="Normal1"/>
        <w:ind w:firstLine="720"/>
      </w:pPr>
      <w:r>
        <w:t xml:space="preserve">Posteriormente, las materias primas son sometidas a emulsificación al vacío en </w:t>
      </w:r>
      <w:proofErr w:type="spellStart"/>
      <w:r>
        <w:t>cutter</w:t>
      </w:r>
      <w:proofErr w:type="spellEnd"/>
      <w:r>
        <w:t xml:space="preserve">, bajo estricto monitoreo térmico con temperatura límite de 4° C, a fin de prevenir fusión lipídica. El protocolo de incorporación de ingredientes establece una secuencia precisa: en la primera etapa de </w:t>
      </w:r>
      <w:proofErr w:type="spellStart"/>
      <w:r>
        <w:t>cutterizado</w:t>
      </w:r>
      <w:proofErr w:type="spellEnd"/>
      <w:r>
        <w:t xml:space="preserve"> se incorpora carne de jabalí, carne de cerdo, leche en polvo, aislado de soja, cloruro de sodio, polifosfato de sodio y la mitad del hielo total. </w:t>
      </w:r>
    </w:p>
    <w:p w:rsidR="002619C5" w:rsidRDefault="008F5894">
      <w:pPr>
        <w:pStyle w:val="Normal1"/>
        <w:ind w:firstLine="720"/>
      </w:pPr>
      <w:r>
        <w:t xml:space="preserve">En la segunda etapa se incorpora el tocino de cerdo </w:t>
      </w:r>
      <w:proofErr w:type="spellStart"/>
      <w:r>
        <w:t>cubeteado</w:t>
      </w:r>
      <w:proofErr w:type="spellEnd"/>
      <w:r>
        <w:t xml:space="preserve">, sal de cura, ácido ascórbico, </w:t>
      </w:r>
      <w:proofErr w:type="spellStart"/>
      <w:r>
        <w:t>eritorbato</w:t>
      </w:r>
      <w:proofErr w:type="spellEnd"/>
      <w:r>
        <w:t xml:space="preserve"> de sodio, glutamato monosódico, pimienta blanca molida, condimento mortadela, pimienta negra molida y el hielo restante. Por último, se realiza la incorporación del hidrogel O/W y nuez pecan en trozo a baja velocidad.</w:t>
      </w:r>
    </w:p>
    <w:p w:rsidR="002619C5" w:rsidRDefault="008F5894">
      <w:pPr>
        <w:pStyle w:val="Normal1"/>
        <w:ind w:firstLine="720"/>
      </w:pPr>
      <w:r>
        <w:t xml:space="preserve">La masa emulsionada se traslada a una embutidora donde se procede el embutido en tripas sintéticas de 44 mm de diámetro. Los productos embutidos son dispuestos en carros y conducidos al horno de cocción. La cocción se desarrolla en dos etapas: la primera etapa a </w:t>
      </w:r>
      <w:r>
        <w:lastRenderedPageBreak/>
        <w:t xml:space="preserve">50°C de temperatura en el horno y 45°C en centro térmico del producto; la segunda etapa a 85°C de temperatura en el horno y 74°C en el centro térmico. Concluida la cocción, se aplica rociado de agua fría para el enfriamiento rápido del producto.   </w:t>
      </w:r>
    </w:p>
    <w:p w:rsidR="002619C5" w:rsidRDefault="008F5894">
      <w:pPr>
        <w:pStyle w:val="Ttulo1"/>
        <w:spacing w:after="200"/>
      </w:pPr>
      <w:bookmarkStart w:id="12" w:name="_76aioqjqr9pw" w:colFirst="0" w:colLast="0"/>
      <w:bookmarkEnd w:id="12"/>
      <w:r>
        <w:t xml:space="preserve">CONTROL DE CALIDAD DEL PRODUCTO FINAL </w:t>
      </w:r>
    </w:p>
    <w:p w:rsidR="002619C5" w:rsidRDefault="008F5894">
      <w:pPr>
        <w:pStyle w:val="Ttulo2"/>
        <w:spacing w:before="0"/>
        <w:ind w:firstLine="720"/>
        <w:rPr>
          <w:sz w:val="24"/>
          <w:szCs w:val="24"/>
          <w:u w:val="single"/>
        </w:rPr>
      </w:pPr>
      <w:bookmarkStart w:id="13" w:name="_jxz0qcizqh0i" w:colFirst="0" w:colLast="0"/>
      <w:bookmarkEnd w:id="13"/>
      <w:r>
        <w:rPr>
          <w:sz w:val="24"/>
          <w:szCs w:val="24"/>
          <w:u w:val="single"/>
        </w:rPr>
        <w:t>Características sensoriales</w:t>
      </w:r>
    </w:p>
    <w:p w:rsidR="002619C5" w:rsidRDefault="008F5894">
      <w:pPr>
        <w:pStyle w:val="Normal1"/>
        <w:ind w:firstLine="720"/>
      </w:pPr>
      <w:r>
        <w:t>El producto final debe contar, para la aceptación del consumidor:</w:t>
      </w:r>
    </w:p>
    <w:p w:rsidR="002619C5" w:rsidRDefault="008F5894">
      <w:pPr>
        <w:pStyle w:val="Normal1"/>
        <w:numPr>
          <w:ilvl w:val="0"/>
          <w:numId w:val="4"/>
        </w:numPr>
        <w:spacing w:after="0"/>
      </w:pPr>
      <w:r>
        <w:t xml:space="preserve">Color: rosado uniforme; en este producto, por la materia prima implementada, se espera una coloración más intensa. </w:t>
      </w:r>
    </w:p>
    <w:p w:rsidR="002619C5" w:rsidRDefault="008F5894">
      <w:pPr>
        <w:pStyle w:val="Normal1"/>
        <w:numPr>
          <w:ilvl w:val="0"/>
          <w:numId w:val="4"/>
        </w:numPr>
        <w:spacing w:after="0"/>
      </w:pPr>
      <w:r>
        <w:t xml:space="preserve">Textura: Debe presentar textura elástica, con corte limpio sin desintegración. Sin exudado de líquido o grasa. </w:t>
      </w:r>
    </w:p>
    <w:p w:rsidR="002619C5" w:rsidRDefault="008F5894">
      <w:pPr>
        <w:pStyle w:val="Normal1"/>
        <w:numPr>
          <w:ilvl w:val="0"/>
          <w:numId w:val="4"/>
        </w:numPr>
        <w:spacing w:after="0"/>
      </w:pPr>
      <w:r>
        <w:t xml:space="preserve">Sabor: equilibrado, con notas características del curado y los condimentos. Se admite un sabor levemente más intenso que la mortadela de cerdo convencional, propio del jabalí. </w:t>
      </w:r>
    </w:p>
    <w:p w:rsidR="002619C5" w:rsidRDefault="008F5894">
      <w:pPr>
        <w:pStyle w:val="Normal1"/>
        <w:numPr>
          <w:ilvl w:val="0"/>
          <w:numId w:val="4"/>
        </w:numPr>
      </w:pPr>
      <w:r>
        <w:t xml:space="preserve">Aspecto exterior: tripa íntegra, sin rotura, deformación.  </w:t>
      </w:r>
    </w:p>
    <w:p w:rsidR="002619C5" w:rsidRDefault="008F5894">
      <w:pPr>
        <w:pStyle w:val="Normal1"/>
        <w:ind w:firstLine="720"/>
        <w:rPr>
          <w:u w:val="single"/>
        </w:rPr>
      </w:pPr>
      <w:r>
        <w:rPr>
          <w:u w:val="single"/>
        </w:rPr>
        <w:t>Características microbiológicas</w:t>
      </w:r>
    </w:p>
    <w:p w:rsidR="002619C5" w:rsidRDefault="008F5894">
      <w:pPr>
        <w:pStyle w:val="Normal1"/>
        <w:ind w:firstLine="720"/>
      </w:pPr>
      <w:r>
        <w:t xml:space="preserve">Los criterios microbiológicos establecidos por el CAA en productos listos para consumo son: </w:t>
      </w:r>
    </w:p>
    <w:p w:rsidR="002619C5" w:rsidRDefault="008F5894">
      <w:pPr>
        <w:pStyle w:val="Normal1"/>
        <w:numPr>
          <w:ilvl w:val="0"/>
          <w:numId w:val="3"/>
        </w:numPr>
        <w:spacing w:after="0"/>
      </w:pPr>
      <w:r>
        <w:t>Aerobios mesófilos totales menor a 100.000 UFC/g</w:t>
      </w:r>
    </w:p>
    <w:p w:rsidR="002619C5" w:rsidRDefault="008F5894">
      <w:pPr>
        <w:pStyle w:val="Normal1"/>
        <w:numPr>
          <w:ilvl w:val="0"/>
          <w:numId w:val="3"/>
        </w:numPr>
        <w:spacing w:after="0"/>
      </w:pPr>
      <w:r>
        <w:t>Coliformes totales menor a 100 UFC/g</w:t>
      </w:r>
    </w:p>
    <w:p w:rsidR="002619C5" w:rsidRDefault="008F5894">
      <w:pPr>
        <w:pStyle w:val="Normal1"/>
        <w:numPr>
          <w:ilvl w:val="0"/>
          <w:numId w:val="3"/>
        </w:numPr>
        <w:spacing w:after="0"/>
      </w:pPr>
      <w:r>
        <w:t>Coliformes fecales menor a 10 UFC/g</w:t>
      </w:r>
    </w:p>
    <w:p w:rsidR="002619C5" w:rsidRDefault="008F5894">
      <w:pPr>
        <w:pStyle w:val="Normal1"/>
        <w:numPr>
          <w:ilvl w:val="0"/>
          <w:numId w:val="3"/>
        </w:numPr>
        <w:spacing w:after="0"/>
      </w:pPr>
      <w:proofErr w:type="spellStart"/>
      <w:r>
        <w:t>Staphylococcus</w:t>
      </w:r>
      <w:proofErr w:type="spellEnd"/>
      <w:r>
        <w:t xml:space="preserve"> </w:t>
      </w:r>
      <w:proofErr w:type="spellStart"/>
      <w:r>
        <w:t>aureus</w:t>
      </w:r>
      <w:proofErr w:type="spellEnd"/>
      <w:r>
        <w:t xml:space="preserve"> menor a 100 UFC/g</w:t>
      </w:r>
    </w:p>
    <w:p w:rsidR="002619C5" w:rsidRDefault="008F5894">
      <w:pPr>
        <w:pStyle w:val="Normal1"/>
        <w:numPr>
          <w:ilvl w:val="0"/>
          <w:numId w:val="3"/>
        </w:numPr>
        <w:spacing w:after="0"/>
      </w:pPr>
      <w:r>
        <w:t xml:space="preserve">Salmonella </w:t>
      </w:r>
      <w:proofErr w:type="spellStart"/>
      <w:r>
        <w:t>spp</w:t>
      </w:r>
      <w:proofErr w:type="spellEnd"/>
      <w:r>
        <w:t>. ausencia en 25 g</w:t>
      </w:r>
    </w:p>
    <w:p w:rsidR="002619C5" w:rsidRDefault="008F5894">
      <w:pPr>
        <w:pStyle w:val="Normal1"/>
        <w:numPr>
          <w:ilvl w:val="0"/>
          <w:numId w:val="3"/>
        </w:numPr>
        <w:spacing w:after="0"/>
      </w:pPr>
      <w:r>
        <w:t xml:space="preserve">Listeria </w:t>
      </w:r>
      <w:proofErr w:type="spellStart"/>
      <w:r>
        <w:t>monocytogenes</w:t>
      </w:r>
      <w:proofErr w:type="spellEnd"/>
      <w:r>
        <w:t>: ausencia en 25 g</w:t>
      </w:r>
    </w:p>
    <w:p w:rsidR="002619C5" w:rsidRDefault="008F5894">
      <w:pPr>
        <w:pStyle w:val="Normal1"/>
        <w:numPr>
          <w:ilvl w:val="0"/>
          <w:numId w:val="3"/>
        </w:numPr>
      </w:pPr>
      <w:proofErr w:type="spellStart"/>
      <w:r>
        <w:t>Clostridium</w:t>
      </w:r>
      <w:proofErr w:type="spellEnd"/>
      <w:r>
        <w:t xml:space="preserve"> </w:t>
      </w:r>
      <w:proofErr w:type="spellStart"/>
      <w:r>
        <w:t>perfringens</w:t>
      </w:r>
      <w:proofErr w:type="spellEnd"/>
      <w:r>
        <w:t xml:space="preserve"> menor a 100 UFC/g</w:t>
      </w:r>
    </w:p>
    <w:p w:rsidR="002619C5" w:rsidRDefault="008F5894">
      <w:pPr>
        <w:pStyle w:val="Normal1"/>
        <w:ind w:firstLine="720"/>
        <w:rPr>
          <w:u w:val="single"/>
        </w:rPr>
      </w:pPr>
      <w:r>
        <w:rPr>
          <w:u w:val="single"/>
        </w:rPr>
        <w:t>Características fisicoquímicas</w:t>
      </w:r>
    </w:p>
    <w:p w:rsidR="002619C5" w:rsidRDefault="008F5894">
      <w:pPr>
        <w:pStyle w:val="Normal1"/>
        <w:ind w:firstLine="720"/>
      </w:pPr>
      <w:r>
        <w:t xml:space="preserve">Las características fisicoquímicas en el producto final a evaluar son: </w:t>
      </w:r>
    </w:p>
    <w:p w:rsidR="002619C5" w:rsidRDefault="008F5894">
      <w:pPr>
        <w:pStyle w:val="Normal1"/>
        <w:numPr>
          <w:ilvl w:val="0"/>
          <w:numId w:val="2"/>
        </w:numPr>
        <w:spacing w:after="0"/>
      </w:pPr>
      <w:r>
        <w:t>pH: 5,8-6,4</w:t>
      </w:r>
    </w:p>
    <w:p w:rsidR="002619C5" w:rsidRDefault="008F5894">
      <w:pPr>
        <w:pStyle w:val="Normal1"/>
        <w:numPr>
          <w:ilvl w:val="0"/>
          <w:numId w:val="2"/>
        </w:numPr>
        <w:spacing w:after="0"/>
      </w:pPr>
      <w:r>
        <w:lastRenderedPageBreak/>
        <w:t>Humedad menor al 72%</w:t>
      </w:r>
    </w:p>
    <w:p w:rsidR="002619C5" w:rsidRDefault="008F5894">
      <w:pPr>
        <w:pStyle w:val="Normal1"/>
        <w:numPr>
          <w:ilvl w:val="0"/>
          <w:numId w:val="2"/>
        </w:numPr>
        <w:spacing w:after="0"/>
      </w:pPr>
      <w:r>
        <w:t xml:space="preserve">Contenido graso menor a 50%. </w:t>
      </w:r>
    </w:p>
    <w:p w:rsidR="002619C5" w:rsidRDefault="008F5894">
      <w:pPr>
        <w:pStyle w:val="Normal1"/>
        <w:numPr>
          <w:ilvl w:val="0"/>
          <w:numId w:val="2"/>
        </w:numPr>
        <w:spacing w:after="0"/>
      </w:pPr>
      <w:r>
        <w:t>Nitrito menor a 150 mg/kg</w:t>
      </w:r>
    </w:p>
    <w:p w:rsidR="002619C5" w:rsidRDefault="008F5894">
      <w:pPr>
        <w:pStyle w:val="Normal1"/>
        <w:numPr>
          <w:ilvl w:val="0"/>
          <w:numId w:val="2"/>
        </w:numPr>
      </w:pPr>
      <w:r>
        <w:t>Cloruro de sodio menor al 2%</w:t>
      </w:r>
    </w:p>
    <w:p w:rsidR="002619C5" w:rsidRDefault="008F5894">
      <w:pPr>
        <w:pStyle w:val="Ttulo2"/>
        <w:spacing w:after="200"/>
        <w:ind w:firstLine="720"/>
      </w:pPr>
      <w:bookmarkStart w:id="14" w:name="_cmaahi26vrr" w:colFirst="0" w:colLast="0"/>
      <w:bookmarkEnd w:id="14"/>
      <w:r>
        <w:rPr>
          <w:sz w:val="24"/>
          <w:szCs w:val="24"/>
          <w:u w:val="single"/>
        </w:rPr>
        <w:t>Diagrama de flujo</w:t>
      </w:r>
    </w:p>
    <w:p w:rsidR="002619C5" w:rsidRDefault="008F5894">
      <w:pPr>
        <w:pStyle w:val="Normal1"/>
        <w:spacing w:after="0"/>
      </w:pPr>
      <w:r>
        <w:t xml:space="preserve"> A </w:t>
      </w:r>
      <w:proofErr w:type="gramStart"/>
      <w:r>
        <w:t>continuación</w:t>
      </w:r>
      <w:proofErr w:type="gramEnd"/>
      <w:r>
        <w:t xml:space="preserve"> se ilustra el diagrama de flujo para el proceso de mortadela en la figura 2 y 3.</w:t>
      </w:r>
    </w:p>
    <w:p w:rsidR="002619C5" w:rsidRDefault="008F5894">
      <w:pPr>
        <w:pStyle w:val="Normal1"/>
        <w:spacing w:after="0"/>
        <w:jc w:val="center"/>
      </w:pPr>
      <w:r>
        <w:rPr>
          <w:noProof/>
          <w:lang w:val="es-ES"/>
        </w:rPr>
        <w:drawing>
          <wp:inline distT="114300" distB="114300" distL="114300" distR="114300">
            <wp:extent cx="5734050" cy="2787104"/>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b="10517"/>
                    <a:stretch>
                      <a:fillRect/>
                    </a:stretch>
                  </pic:blipFill>
                  <pic:spPr>
                    <a:xfrm>
                      <a:off x="0" y="0"/>
                      <a:ext cx="5734050" cy="2787104"/>
                    </a:xfrm>
                    <a:prstGeom prst="rect">
                      <a:avLst/>
                    </a:prstGeom>
                    <a:ln/>
                  </pic:spPr>
                </pic:pic>
              </a:graphicData>
            </a:graphic>
          </wp:inline>
        </w:drawing>
      </w:r>
    </w:p>
    <w:p w:rsidR="002619C5" w:rsidRDefault="008F5894">
      <w:pPr>
        <w:pStyle w:val="Normal1"/>
        <w:jc w:val="center"/>
        <w:rPr>
          <w:i/>
          <w:iCs/>
        </w:rPr>
      </w:pPr>
      <w:r>
        <w:rPr>
          <w:i/>
          <w:iCs/>
        </w:rPr>
        <w:t>Figura 2. Primera parte del diagrama de flujo del proceso de la mortadela de jabalí.</w:t>
      </w:r>
    </w:p>
    <w:p w:rsidR="002619C5" w:rsidRDefault="00960D0A">
      <w:pPr>
        <w:pStyle w:val="Normal1"/>
        <w:spacing w:after="0"/>
        <w:jc w:val="center"/>
      </w:pPr>
      <w:r>
        <w:rPr>
          <w:noProof/>
          <w:lang w:val="es-ES"/>
        </w:rPr>
        <w:lastRenderedPageBreak/>
        <w:drawing>
          <wp:inline distT="0" distB="0" distL="0" distR="0">
            <wp:extent cx="5733415" cy="4300220"/>
            <wp:effectExtent l="19050" t="0" r="635" b="0"/>
            <wp:docPr id="7" name="6 Imagen" descr="Mortadela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rtadela (5).png"/>
                    <pic:cNvPicPr/>
                  </pic:nvPicPr>
                  <pic:blipFill>
                    <a:blip r:embed="rId10"/>
                    <a:stretch>
                      <a:fillRect/>
                    </a:stretch>
                  </pic:blipFill>
                  <pic:spPr>
                    <a:xfrm>
                      <a:off x="0" y="0"/>
                      <a:ext cx="5733415" cy="4300220"/>
                    </a:xfrm>
                    <a:prstGeom prst="rect">
                      <a:avLst/>
                    </a:prstGeom>
                  </pic:spPr>
                </pic:pic>
              </a:graphicData>
            </a:graphic>
          </wp:inline>
        </w:drawing>
      </w:r>
    </w:p>
    <w:p w:rsidR="002619C5" w:rsidRDefault="008F5894">
      <w:pPr>
        <w:pStyle w:val="Normal1"/>
        <w:spacing w:after="0"/>
        <w:jc w:val="center"/>
        <w:rPr>
          <w:i/>
          <w:iCs/>
        </w:rPr>
      </w:pPr>
      <w:r>
        <w:rPr>
          <w:i/>
          <w:iCs/>
        </w:rPr>
        <w:t>Figura 2. Segunda parte del diagrama de flujo del proceso de la mortadela de jabalí.</w:t>
      </w:r>
    </w:p>
    <w:p w:rsidR="002619C5" w:rsidRDefault="008F5894">
      <w:pPr>
        <w:pStyle w:val="Normal1"/>
      </w:pPr>
      <w:r>
        <w:rPr>
          <w:i/>
          <w:iCs/>
        </w:rPr>
        <w:tab/>
      </w:r>
      <w:r>
        <w:t xml:space="preserve">Se plantea teóricamente que durante la totalidad del proceso en control térmico no debe exceder los 4°C, con el objeto de prevenir la fusión lipídica de los ácidos grasos saturados, constituyentes del tocino, así como la oxidación lipídica temprana de los ácidos grasos insaturados que conforman la matriz del hidrogel, como medida de control preventivo de calidad; no </w:t>
      </w:r>
      <w:proofErr w:type="gramStart"/>
      <w:r>
        <w:t>obstante</w:t>
      </w:r>
      <w:proofErr w:type="gramEnd"/>
      <w:r>
        <w:t xml:space="preserve"> dicha hipótesis requiere validación mediante ensayos empíricos experimentales. </w:t>
      </w:r>
    </w:p>
    <w:p w:rsidR="002619C5" w:rsidRDefault="008F5894">
      <w:pPr>
        <w:pStyle w:val="Normal1"/>
      </w:pPr>
      <w:r>
        <w:tab/>
        <w:t>La emulsión O/W requiere alcanzar una temperatura de 70°C (</w:t>
      </w:r>
      <w:proofErr w:type="spellStart"/>
      <w:r>
        <w:t>Jenko</w:t>
      </w:r>
      <w:proofErr w:type="spellEnd"/>
      <w:r w:rsidR="00023C20">
        <w:t xml:space="preserve"> et</w:t>
      </w:r>
      <w:r>
        <w:t xml:space="preserve"> al.,</w:t>
      </w:r>
      <w:r w:rsidR="00023C20">
        <w:t xml:space="preserve"> </w:t>
      </w:r>
      <w:r>
        <w:t xml:space="preserve">2026), para la formación del hidrogel en el enfriamiento posterior. Se diseñó un protocolo de cocción orientado a mantener un gradiente de temperatura durante todo el proceso de cocción para que el proceso se realice de forma uniforme. Como propuesta de optimización tecnológica, se plantea la implementación de un sistema de cocción automatizado con gradiente térmico controlado, a fin de minimizar los picos de temperatura potencialmente perjudiciales para la integridad del producto. En la misma línea, se propone la incorporación </w:t>
      </w:r>
      <w:r>
        <w:lastRenderedPageBreak/>
        <w:t xml:space="preserve">de una </w:t>
      </w:r>
      <w:proofErr w:type="spellStart"/>
      <w:r>
        <w:t>cutter</w:t>
      </w:r>
      <w:proofErr w:type="spellEnd"/>
      <w:r>
        <w:t xml:space="preserve"> con vacío, como medida para prevenir la oxidación lipídica por acción del oxígeno sobre la emulsión cárnica, reduciendo así la rancidez oxidativa del producto final.      </w:t>
      </w:r>
    </w:p>
    <w:p w:rsidR="002619C5" w:rsidRDefault="008F5894">
      <w:pPr>
        <w:pStyle w:val="Ttulo1"/>
        <w:pBdr>
          <w:top w:val="nil"/>
          <w:left w:val="nil"/>
          <w:bottom w:val="nil"/>
          <w:right w:val="nil"/>
          <w:between w:val="nil"/>
        </w:pBdr>
        <w:spacing w:before="400" w:after="200"/>
      </w:pPr>
      <w:bookmarkStart w:id="15" w:name="_6ly4wiw8iynz" w:colFirst="0" w:colLast="0"/>
      <w:bookmarkEnd w:id="15"/>
      <w:r>
        <w:t>CONCLUSIÓN.</w:t>
      </w:r>
    </w:p>
    <w:p w:rsidR="002619C5" w:rsidRDefault="008F5894">
      <w:pPr>
        <w:pStyle w:val="Normal1"/>
        <w:ind w:firstLine="720"/>
      </w:pPr>
      <w:r>
        <w:t xml:space="preserve">De acuerdo a los conocimientos teóricos de calidad de carnes, concluimos que es factible la producción de un producto de este tipo en la región; no solo porque encontramos una solución al problema ambiental que representa un animal como el jabalí, sino porque se propone un producto con carácter regional al utilizar nuez </w:t>
      </w:r>
      <w:proofErr w:type="spellStart"/>
      <w:r>
        <w:t>pecán</w:t>
      </w:r>
      <w:proofErr w:type="spellEnd"/>
      <w:r>
        <w:t>, un producto local.</w:t>
      </w:r>
    </w:p>
    <w:p w:rsidR="002619C5" w:rsidRDefault="008F5894">
      <w:pPr>
        <w:pStyle w:val="Normal1"/>
        <w:ind w:firstLine="720"/>
      </w:pPr>
      <w:r>
        <w:t xml:space="preserve">La sustitución parcial de la grasa por hidrogel le da al producto otro valor: la mortadela suele ser un producto de bajo costo y, por lo tanto, más accesible, al introducir el hidrogel, se mejora el perfil de ácidos grasos y mejora la calidad nutricional. Los aceites de chía y nuez </w:t>
      </w:r>
      <w:proofErr w:type="spellStart"/>
      <w:r>
        <w:t>pecán</w:t>
      </w:r>
      <w:proofErr w:type="spellEnd"/>
      <w:r>
        <w:t xml:space="preserve"> se caracterizan por su proporción en ácidos grasos poliinsaturados. Sin embargo, es necesario realizar un panel sensorial para estudiar la aceptación del mercado y/o realizar ajustes a la formulación. </w:t>
      </w:r>
    </w:p>
    <w:p w:rsidR="002619C5" w:rsidRDefault="002619C5">
      <w:pPr>
        <w:pStyle w:val="Normal1"/>
        <w:ind w:firstLine="720"/>
        <w:rPr>
          <w:b/>
          <w:bCs/>
        </w:rPr>
      </w:pPr>
    </w:p>
    <w:p w:rsidR="002619C5" w:rsidRDefault="002619C5">
      <w:pPr>
        <w:pStyle w:val="Normal1"/>
        <w:ind w:firstLine="720"/>
        <w:rPr>
          <w:b/>
          <w:bCs/>
        </w:rPr>
      </w:pPr>
    </w:p>
    <w:p w:rsidR="002619C5" w:rsidRDefault="008F5894">
      <w:pPr>
        <w:pStyle w:val="Normal1"/>
        <w:ind w:firstLine="720"/>
      </w:pPr>
      <w:r>
        <w:rPr>
          <w:b/>
          <w:bCs/>
        </w:rPr>
        <w:t>BIBLIOGRAFÍA</w:t>
      </w:r>
    </w:p>
    <w:p w:rsidR="002619C5" w:rsidRDefault="008F5894">
      <w:pPr>
        <w:pStyle w:val="Normal1"/>
        <w:numPr>
          <w:ilvl w:val="0"/>
          <w:numId w:val="1"/>
        </w:numPr>
        <w:spacing w:after="0"/>
      </w:pPr>
      <w:r>
        <w:t xml:space="preserve"> Código Alimentario Argentino. Capítulo VI. Alimentos cárneos y afines </w:t>
      </w:r>
      <w:hyperlink r:id="rId11">
        <w:r>
          <w:rPr>
            <w:color w:val="1155CC"/>
            <w:u w:val="single"/>
          </w:rPr>
          <w:t>URL</w:t>
        </w:r>
      </w:hyperlink>
      <w:r>
        <w:t xml:space="preserve"> </w:t>
      </w:r>
    </w:p>
    <w:p w:rsidR="002619C5" w:rsidRDefault="008F5894">
      <w:pPr>
        <w:pStyle w:val="Normal1"/>
        <w:numPr>
          <w:ilvl w:val="0"/>
          <w:numId w:val="1"/>
        </w:numPr>
        <w:spacing w:after="0"/>
      </w:pPr>
      <w:r>
        <w:t xml:space="preserve">Ramírez J. (2003). </w:t>
      </w:r>
      <w:r>
        <w:rPr>
          <w:i/>
          <w:iCs/>
        </w:rPr>
        <w:t>Características carne de jabalí</w:t>
      </w:r>
      <w:r>
        <w:t xml:space="preserve">. Universidad Austral de Chile / INIA. </w:t>
      </w:r>
    </w:p>
    <w:p w:rsidR="002619C5" w:rsidRDefault="008F5894">
      <w:pPr>
        <w:pStyle w:val="Normal1"/>
        <w:numPr>
          <w:ilvl w:val="0"/>
          <w:numId w:val="1"/>
        </w:numPr>
        <w:spacing w:after="0"/>
      </w:pPr>
      <w:r>
        <w:t xml:space="preserve">Dr. </w:t>
      </w:r>
      <w:proofErr w:type="spellStart"/>
      <w:r>
        <w:t>Skewes</w:t>
      </w:r>
      <w:proofErr w:type="spellEnd"/>
      <w:r>
        <w:t xml:space="preserve"> </w:t>
      </w:r>
      <w:proofErr w:type="spellStart"/>
      <w:proofErr w:type="gramStart"/>
      <w:r>
        <w:t>Ramm</w:t>
      </w:r>
      <w:proofErr w:type="spellEnd"/>
      <w:r>
        <w:t>,  O.</w:t>
      </w:r>
      <w:proofErr w:type="gramEnd"/>
      <w:r>
        <w:t xml:space="preserve"> (2003). LA CARNE DEL JABALÍ. Publicado en revista </w:t>
      </w:r>
      <w:r>
        <w:rPr>
          <w:i/>
          <w:iCs/>
        </w:rPr>
        <w:t>PROVEEDORES Y ALIMENTOS</w:t>
      </w:r>
      <w:r>
        <w:t>, Vol. 1, n.º 3, mayo-junio 2003. .</w:t>
      </w:r>
      <w:hyperlink r:id="rId12">
        <w:r>
          <w:rPr>
            <w:color w:val="1155CC"/>
            <w:u w:val="single"/>
          </w:rPr>
          <w:t>URL</w:t>
        </w:r>
      </w:hyperlink>
      <w:r>
        <w:t>. Visitado:20/05/2026.</w:t>
      </w:r>
    </w:p>
    <w:p w:rsidR="002619C5" w:rsidRDefault="008F5894">
      <w:pPr>
        <w:pStyle w:val="Normal1"/>
        <w:numPr>
          <w:ilvl w:val="0"/>
          <w:numId w:val="1"/>
        </w:numPr>
        <w:spacing w:after="0"/>
      </w:pPr>
      <w:r>
        <w:t xml:space="preserve">Jonsson, M. (2022). </w:t>
      </w:r>
      <w:r>
        <w:rPr>
          <w:i/>
          <w:iCs/>
        </w:rPr>
        <w:t xml:space="preserve">Wild </w:t>
      </w:r>
      <w:proofErr w:type="spellStart"/>
      <w:r>
        <w:rPr>
          <w:i/>
          <w:iCs/>
        </w:rPr>
        <w:t>boar</w:t>
      </w:r>
      <w:proofErr w:type="spellEnd"/>
      <w:r>
        <w:rPr>
          <w:i/>
          <w:iCs/>
        </w:rPr>
        <w:t xml:space="preserve"> (Sus </w:t>
      </w:r>
      <w:proofErr w:type="spellStart"/>
      <w:r>
        <w:rPr>
          <w:i/>
          <w:iCs/>
        </w:rPr>
        <w:t>scrofa</w:t>
      </w:r>
      <w:proofErr w:type="spellEnd"/>
      <w:r>
        <w:rPr>
          <w:i/>
          <w:iCs/>
        </w:rPr>
        <w:t xml:space="preserve">) </w:t>
      </w:r>
      <w:proofErr w:type="spellStart"/>
      <w:r>
        <w:rPr>
          <w:i/>
          <w:iCs/>
        </w:rPr>
        <w:t>meat</w:t>
      </w:r>
      <w:proofErr w:type="spellEnd"/>
      <w:r>
        <w:rPr>
          <w:i/>
          <w:iCs/>
        </w:rPr>
        <w:t xml:space="preserve"> </w:t>
      </w:r>
      <w:proofErr w:type="spellStart"/>
      <w:r>
        <w:rPr>
          <w:i/>
          <w:iCs/>
        </w:rPr>
        <w:t>quality</w:t>
      </w:r>
      <w:proofErr w:type="spellEnd"/>
      <w:r>
        <w:rPr>
          <w:i/>
          <w:iCs/>
        </w:rPr>
        <w:t xml:space="preserve">. A </w:t>
      </w:r>
      <w:proofErr w:type="spellStart"/>
      <w:r>
        <w:rPr>
          <w:i/>
          <w:iCs/>
        </w:rPr>
        <w:t>study</w:t>
      </w:r>
      <w:proofErr w:type="spellEnd"/>
      <w:r>
        <w:rPr>
          <w:i/>
          <w:iCs/>
        </w:rPr>
        <w:t xml:space="preserve"> </w:t>
      </w:r>
      <w:proofErr w:type="spellStart"/>
      <w:r>
        <w:rPr>
          <w:i/>
          <w:iCs/>
        </w:rPr>
        <w:t>of</w:t>
      </w:r>
      <w:proofErr w:type="spellEnd"/>
      <w:r>
        <w:rPr>
          <w:i/>
          <w:iCs/>
        </w:rPr>
        <w:t xml:space="preserve"> </w:t>
      </w:r>
      <w:proofErr w:type="spellStart"/>
      <w:r>
        <w:rPr>
          <w:i/>
          <w:iCs/>
        </w:rPr>
        <w:t>the</w:t>
      </w:r>
      <w:proofErr w:type="spellEnd"/>
      <w:r>
        <w:rPr>
          <w:i/>
          <w:iCs/>
        </w:rPr>
        <w:t xml:space="preserve"> </w:t>
      </w:r>
      <w:proofErr w:type="spellStart"/>
      <w:r>
        <w:rPr>
          <w:i/>
          <w:iCs/>
        </w:rPr>
        <w:t>homogeneity</w:t>
      </w:r>
      <w:proofErr w:type="spellEnd"/>
      <w:r>
        <w:rPr>
          <w:i/>
          <w:iCs/>
        </w:rPr>
        <w:t xml:space="preserve"> </w:t>
      </w:r>
      <w:proofErr w:type="spellStart"/>
      <w:r>
        <w:rPr>
          <w:i/>
          <w:iCs/>
        </w:rPr>
        <w:t>of</w:t>
      </w:r>
      <w:proofErr w:type="spellEnd"/>
      <w:r>
        <w:rPr>
          <w:i/>
          <w:iCs/>
        </w:rPr>
        <w:t xml:space="preserve"> wild </w:t>
      </w:r>
      <w:proofErr w:type="spellStart"/>
      <w:r>
        <w:rPr>
          <w:i/>
          <w:iCs/>
        </w:rPr>
        <w:t>boar</w:t>
      </w:r>
      <w:proofErr w:type="spellEnd"/>
      <w:r>
        <w:rPr>
          <w:i/>
          <w:iCs/>
        </w:rPr>
        <w:t xml:space="preserve"> </w:t>
      </w:r>
      <w:proofErr w:type="spellStart"/>
      <w:r>
        <w:rPr>
          <w:i/>
          <w:iCs/>
        </w:rPr>
        <w:t>meat</w:t>
      </w:r>
      <w:proofErr w:type="spellEnd"/>
      <w:r>
        <w:rPr>
          <w:i/>
          <w:iCs/>
        </w:rPr>
        <w:t xml:space="preserve"> </w:t>
      </w:r>
      <w:proofErr w:type="spellStart"/>
      <w:r>
        <w:rPr>
          <w:i/>
          <w:iCs/>
        </w:rPr>
        <w:t>quality</w:t>
      </w:r>
      <w:proofErr w:type="spellEnd"/>
      <w:r>
        <w:rPr>
          <w:i/>
          <w:iCs/>
        </w:rPr>
        <w:t>.</w:t>
      </w:r>
      <w:r>
        <w:t xml:space="preserve"> Editorial Universitaria. </w:t>
      </w:r>
      <w:proofErr w:type="spellStart"/>
      <w:r>
        <w:t>Swedish</w:t>
      </w:r>
      <w:proofErr w:type="spellEnd"/>
      <w:r>
        <w:t xml:space="preserve"> </w:t>
      </w:r>
      <w:proofErr w:type="spellStart"/>
      <w:r>
        <w:t>University</w:t>
      </w:r>
      <w:proofErr w:type="spellEnd"/>
      <w:r>
        <w:t xml:space="preserve"> </w:t>
      </w:r>
      <w:proofErr w:type="spellStart"/>
      <w:r>
        <w:t>of</w:t>
      </w:r>
      <w:proofErr w:type="spellEnd"/>
      <w:r>
        <w:t xml:space="preserve"> </w:t>
      </w:r>
      <w:proofErr w:type="spellStart"/>
      <w:r>
        <w:t>Agricultural</w:t>
      </w:r>
      <w:proofErr w:type="spellEnd"/>
      <w:r>
        <w:t xml:space="preserve"> </w:t>
      </w:r>
      <w:proofErr w:type="spellStart"/>
      <w:r>
        <w:t>Sciences</w:t>
      </w:r>
      <w:proofErr w:type="spellEnd"/>
      <w:r>
        <w:t xml:space="preserve">, SLU </w:t>
      </w:r>
      <w:proofErr w:type="spellStart"/>
      <w:r>
        <w:t>Department</w:t>
      </w:r>
      <w:proofErr w:type="spellEnd"/>
      <w:r>
        <w:t xml:space="preserve"> </w:t>
      </w:r>
      <w:proofErr w:type="spellStart"/>
      <w:r>
        <w:t>of</w:t>
      </w:r>
      <w:proofErr w:type="spellEnd"/>
      <w:r>
        <w:t xml:space="preserve"> Molecular </w:t>
      </w:r>
      <w:proofErr w:type="spellStart"/>
      <w:r>
        <w:t>Sciences</w:t>
      </w:r>
      <w:proofErr w:type="spellEnd"/>
      <w:r>
        <w:t xml:space="preserve"> </w:t>
      </w:r>
      <w:proofErr w:type="spellStart"/>
      <w:r>
        <w:t>Agriculture</w:t>
      </w:r>
      <w:proofErr w:type="spellEnd"/>
      <w:r>
        <w:t xml:space="preserve"> </w:t>
      </w:r>
      <w:proofErr w:type="spellStart"/>
      <w:r>
        <w:t>Programme</w:t>
      </w:r>
      <w:proofErr w:type="spellEnd"/>
      <w:r>
        <w:t xml:space="preserve"> - </w:t>
      </w:r>
      <w:proofErr w:type="spellStart"/>
      <w:r>
        <w:t>Food</w:t>
      </w:r>
      <w:proofErr w:type="spellEnd"/>
      <w:r>
        <w:t xml:space="preserve"> </w:t>
      </w:r>
      <w:proofErr w:type="spellStart"/>
      <w:r>
        <w:t>Science</w:t>
      </w:r>
      <w:proofErr w:type="spellEnd"/>
      <w:r>
        <w:t xml:space="preserve"> Molecular </w:t>
      </w:r>
      <w:proofErr w:type="spellStart"/>
      <w:r>
        <w:t>Sciences</w:t>
      </w:r>
      <w:proofErr w:type="spellEnd"/>
      <w:r>
        <w:t xml:space="preserve">, 2022: 64. Visitado 18/05/2026. </w:t>
      </w:r>
      <w:hyperlink r:id="rId13">
        <w:r>
          <w:rPr>
            <w:color w:val="1155CC"/>
            <w:u w:val="single"/>
          </w:rPr>
          <w:t>URL.</w:t>
        </w:r>
      </w:hyperlink>
    </w:p>
    <w:p w:rsidR="002619C5" w:rsidRDefault="008F5894">
      <w:pPr>
        <w:pStyle w:val="Normal1"/>
        <w:numPr>
          <w:ilvl w:val="0"/>
          <w:numId w:val="1"/>
        </w:numPr>
        <w:spacing w:after="0" w:line="288" w:lineRule="auto"/>
      </w:pPr>
      <w:proofErr w:type="spellStart"/>
      <w:r>
        <w:t>Andréa</w:t>
      </w:r>
      <w:proofErr w:type="spellEnd"/>
      <w:r>
        <w:t xml:space="preserve"> Fernanda </w:t>
      </w:r>
      <w:proofErr w:type="spellStart"/>
      <w:r>
        <w:t>Marchiori</w:t>
      </w:r>
      <w:proofErr w:type="spellEnd"/>
      <w:r>
        <w:t xml:space="preserve">; Pedro Eduardo de </w:t>
      </w:r>
      <w:proofErr w:type="spellStart"/>
      <w:r>
        <w:t>Felício</w:t>
      </w:r>
      <w:proofErr w:type="spellEnd"/>
      <w:r>
        <w:t xml:space="preserve">. </w:t>
      </w:r>
      <w:proofErr w:type="spellStart"/>
      <w:r>
        <w:rPr>
          <w:i/>
          <w:iCs/>
        </w:rPr>
        <w:t>Qualidade</w:t>
      </w:r>
      <w:proofErr w:type="spellEnd"/>
      <w:r>
        <w:rPr>
          <w:i/>
          <w:iCs/>
        </w:rPr>
        <w:t xml:space="preserve"> da carne de </w:t>
      </w:r>
      <w:proofErr w:type="spellStart"/>
      <w:r>
        <w:rPr>
          <w:i/>
          <w:iCs/>
        </w:rPr>
        <w:t>javali</w:t>
      </w:r>
      <w:proofErr w:type="spellEnd"/>
      <w:r>
        <w:rPr>
          <w:i/>
          <w:iCs/>
        </w:rPr>
        <w:t xml:space="preserve"> e de </w:t>
      </w:r>
      <w:proofErr w:type="spellStart"/>
      <w:r>
        <w:rPr>
          <w:i/>
          <w:iCs/>
        </w:rPr>
        <w:t>suíno</w:t>
      </w:r>
      <w:proofErr w:type="spellEnd"/>
      <w:r>
        <w:rPr>
          <w:i/>
          <w:iCs/>
        </w:rPr>
        <w:t xml:space="preserve"> comercial.</w:t>
      </w:r>
      <w:r>
        <w:t xml:space="preserve"> Publicado en revista SciELO </w:t>
      </w:r>
      <w:proofErr w:type="spellStart"/>
      <w:r>
        <w:t>brasil</w:t>
      </w:r>
      <w:proofErr w:type="spellEnd"/>
      <w:r>
        <w:t xml:space="preserve">. (2003). Visitado:20/05/2026. </w:t>
      </w:r>
      <w:hyperlink r:id="rId14">
        <w:r>
          <w:rPr>
            <w:color w:val="1155CC"/>
            <w:u w:val="single"/>
          </w:rPr>
          <w:t>URL</w:t>
        </w:r>
      </w:hyperlink>
    </w:p>
    <w:p w:rsidR="002619C5" w:rsidRDefault="008F5894">
      <w:pPr>
        <w:pStyle w:val="Normal1"/>
        <w:numPr>
          <w:ilvl w:val="0"/>
          <w:numId w:val="1"/>
        </w:numPr>
        <w:spacing w:after="0"/>
      </w:pPr>
      <w:proofErr w:type="spellStart"/>
      <w:r>
        <w:lastRenderedPageBreak/>
        <w:t>MAGyP</w:t>
      </w:r>
      <w:proofErr w:type="spellEnd"/>
      <w:r>
        <w:t xml:space="preserve"> Argentina (2016). Ficha N°56: Carne de jabalí. </w:t>
      </w:r>
      <w:proofErr w:type="spellStart"/>
      <w:r>
        <w:t>Vistado</w:t>
      </w:r>
      <w:proofErr w:type="spellEnd"/>
      <w:r>
        <w:t xml:space="preserve">: 20/05/2026. </w:t>
      </w:r>
      <w:hyperlink r:id="rId15">
        <w:r>
          <w:rPr>
            <w:color w:val="1155CC"/>
            <w:u w:val="single"/>
          </w:rPr>
          <w:t>URL</w:t>
        </w:r>
      </w:hyperlink>
    </w:p>
    <w:p w:rsidR="002619C5" w:rsidRDefault="008F5894">
      <w:pPr>
        <w:pStyle w:val="Normal1"/>
        <w:numPr>
          <w:ilvl w:val="0"/>
          <w:numId w:val="1"/>
        </w:numPr>
        <w:spacing w:after="0"/>
      </w:pPr>
      <w:proofErr w:type="spellStart"/>
      <w:r>
        <w:rPr>
          <w:sz w:val="26"/>
          <w:szCs w:val="26"/>
        </w:rPr>
        <w:t>Jenko</w:t>
      </w:r>
      <w:proofErr w:type="spellEnd"/>
      <w:r>
        <w:rPr>
          <w:sz w:val="26"/>
          <w:szCs w:val="26"/>
        </w:rPr>
        <w:t xml:space="preserve">, C. et al (2026). </w:t>
      </w:r>
      <w:r>
        <w:rPr>
          <w:i/>
          <w:iCs/>
        </w:rPr>
        <w:t xml:space="preserve">Optimización de hidrogeles O/W con aceites de </w:t>
      </w:r>
      <w:proofErr w:type="spellStart"/>
      <w:r>
        <w:rPr>
          <w:i/>
          <w:iCs/>
        </w:rPr>
        <w:t>pecán</w:t>
      </w:r>
      <w:proofErr w:type="spellEnd"/>
      <w:r>
        <w:rPr>
          <w:i/>
          <w:iCs/>
        </w:rPr>
        <w:t xml:space="preserve"> y chía como sustitutos saludables de grasa animal en productos cárnicos. </w:t>
      </w:r>
      <w:r>
        <w:t>Visitado: 26/05/2026</w:t>
      </w:r>
      <w:r>
        <w:rPr>
          <w:sz w:val="22"/>
          <w:szCs w:val="22"/>
        </w:rPr>
        <w:t xml:space="preserve">. </w:t>
      </w:r>
      <w:hyperlink r:id="rId16">
        <w:r>
          <w:rPr>
            <w:color w:val="1155CC"/>
            <w:sz w:val="22"/>
            <w:szCs w:val="22"/>
            <w:u w:val="single"/>
          </w:rPr>
          <w:t>URL.</w:t>
        </w:r>
      </w:hyperlink>
      <w:r>
        <w:rPr>
          <w:sz w:val="22"/>
          <w:szCs w:val="22"/>
        </w:rPr>
        <w:t xml:space="preserve"> </w:t>
      </w:r>
    </w:p>
    <w:sectPr w:rsidR="002619C5" w:rsidSect="002619C5">
      <w:headerReference w:type="default" r:id="rId17"/>
      <w:footerReference w:type="default" r:id="rId18"/>
      <w:headerReference w:type="first" r:id="rId19"/>
      <w:footerReference w:type="first" r:id="rId20"/>
      <w:pgSz w:w="11909" w:h="16834"/>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2561" w:rsidRDefault="00D72561" w:rsidP="002619C5">
      <w:pPr>
        <w:spacing w:after="0" w:line="240" w:lineRule="auto"/>
      </w:pPr>
      <w:r>
        <w:separator/>
      </w:r>
    </w:p>
  </w:endnote>
  <w:endnote w:type="continuationSeparator" w:id="0">
    <w:p w:rsidR="00D72561" w:rsidRDefault="00D72561" w:rsidP="002619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C8A42667-4E89-44D2-9037-E5F083989C9E}"/>
  </w:font>
  <w:font w:name="Calibri">
    <w:panose1 w:val="020F0502020204030204"/>
    <w:charset w:val="00"/>
    <w:family w:val="swiss"/>
    <w:pitch w:val="variable"/>
    <w:sig w:usb0="E4002EFF" w:usb1="C000247B" w:usb2="00000009" w:usb3="00000000" w:csb0="000001FF" w:csb1="00000000"/>
    <w:embedRegular r:id="rId2" w:fontKey="{97766B91-9FEC-44C2-8B79-08AB22C0BB86}"/>
  </w:font>
  <w:font w:name="Cambria">
    <w:panose1 w:val="02040503050406030204"/>
    <w:charset w:val="00"/>
    <w:family w:val="roman"/>
    <w:pitch w:val="variable"/>
    <w:sig w:usb0="E00006FF" w:usb1="420024FF" w:usb2="02000000" w:usb3="00000000" w:csb0="0000019F" w:csb1="00000000"/>
    <w:embedRegular r:id="rId3" w:fontKey="{ED61B85C-24C8-4AC3-B4F6-7B36F8A8B5F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5894" w:rsidRDefault="008F5894">
    <w:pPr>
      <w:pStyle w:val="Normal1"/>
      <w:jc w:val="right"/>
    </w:pPr>
  </w:p>
  <w:p w:rsidR="008F5894" w:rsidRDefault="002A6FAD">
    <w:pPr>
      <w:pStyle w:val="Normal1"/>
      <w:jc w:val="right"/>
    </w:pPr>
    <w:r>
      <w:fldChar w:fldCharType="begin"/>
    </w:r>
    <w:r>
      <w:instrText>PAGE</w:instrText>
    </w:r>
    <w:r>
      <w:fldChar w:fldCharType="separate"/>
    </w:r>
    <w:r w:rsidR="00781324">
      <w:rPr>
        <w:noProof/>
      </w:rPr>
      <w:t>15</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5894" w:rsidRDefault="008F5894">
    <w:pPr>
      <w:pStyle w:val="Normal1"/>
      <w:ind w:left="-566"/>
      <w:jc w:val="center"/>
    </w:pPr>
    <w:r>
      <w:rPr>
        <w:noProof/>
        <w:lang w:val="es-ES"/>
      </w:rPr>
      <w:drawing>
        <wp:inline distT="114300" distB="114300" distL="114300" distR="114300">
          <wp:extent cx="6490645" cy="377363"/>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490645" cy="377363"/>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2561" w:rsidRDefault="00D72561" w:rsidP="002619C5">
      <w:pPr>
        <w:spacing w:after="0" w:line="240" w:lineRule="auto"/>
      </w:pPr>
      <w:r>
        <w:separator/>
      </w:r>
    </w:p>
  </w:footnote>
  <w:footnote w:type="continuationSeparator" w:id="0">
    <w:p w:rsidR="00D72561" w:rsidRDefault="00D72561" w:rsidP="002619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5894" w:rsidRDefault="008F5894">
    <w:pPr>
      <w:pStyle w:val="Normal1"/>
      <w:spacing w:after="0"/>
    </w:pPr>
    <w:r>
      <w:t>Procesos Industriales II</w:t>
    </w:r>
    <w:r>
      <w:rPr>
        <w:noProof/>
        <w:lang w:val="es-ES"/>
      </w:rPr>
      <w:drawing>
        <wp:anchor distT="114300" distB="114300" distL="114300" distR="114300" simplePos="0" relativeHeight="251658240" behindDoc="1" locked="0" layoutInCell="1" allowOverlap="1">
          <wp:simplePos x="0" y="0"/>
          <wp:positionH relativeFrom="column">
            <wp:posOffset>3971925</wp:posOffset>
          </wp:positionH>
          <wp:positionV relativeFrom="paragraph">
            <wp:posOffset>-152399</wp:posOffset>
          </wp:positionV>
          <wp:extent cx="2090738" cy="444672"/>
          <wp:effectExtent l="0" t="0" r="0" b="0"/>
          <wp:wrapNone/>
          <wp:docPr id="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2090738" cy="444672"/>
                  </a:xfrm>
                  <a:prstGeom prst="rect">
                    <a:avLst/>
                  </a:prstGeom>
                  <a:ln/>
                </pic:spPr>
              </pic:pic>
            </a:graphicData>
          </a:graphic>
        </wp:anchor>
      </w:drawing>
    </w:r>
  </w:p>
  <w:p w:rsidR="008F5894" w:rsidRDefault="008F5894">
    <w:pPr>
      <w:pStyle w:val="Normal1"/>
      <w:spacing w:after="0"/>
    </w:pPr>
    <w:r>
      <w:t>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5894" w:rsidRDefault="008F5894">
    <w:pPr>
      <w:pStyle w:val="Normal1"/>
      <w:ind w:left="-566"/>
    </w:pPr>
    <w:r>
      <w:rPr>
        <w:noProof/>
        <w:lang w:val="es-ES"/>
      </w:rPr>
      <w:drawing>
        <wp:inline distT="114300" distB="114300" distL="114300" distR="114300">
          <wp:extent cx="6502003" cy="604838"/>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502003" cy="60483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E7634B"/>
    <w:multiLevelType w:val="multilevel"/>
    <w:tmpl w:val="12EAEF9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2E7612C2"/>
    <w:multiLevelType w:val="multilevel"/>
    <w:tmpl w:val="BDE698E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707E5683"/>
    <w:multiLevelType w:val="multilevel"/>
    <w:tmpl w:val="2D4AB4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9306BD1"/>
    <w:multiLevelType w:val="multilevel"/>
    <w:tmpl w:val="F7BA496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9C5"/>
    <w:rsid w:val="000109F9"/>
    <w:rsid w:val="00023C20"/>
    <w:rsid w:val="00106C88"/>
    <w:rsid w:val="002619C5"/>
    <w:rsid w:val="00263230"/>
    <w:rsid w:val="002A6FAD"/>
    <w:rsid w:val="00377CC0"/>
    <w:rsid w:val="004C0ACD"/>
    <w:rsid w:val="00505236"/>
    <w:rsid w:val="00633478"/>
    <w:rsid w:val="00781324"/>
    <w:rsid w:val="008F5894"/>
    <w:rsid w:val="00960D0A"/>
    <w:rsid w:val="00973120"/>
    <w:rsid w:val="00B46B4A"/>
    <w:rsid w:val="00BC4D0A"/>
    <w:rsid w:val="00D7256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91416A-FA29-484D-89F5-AB68D5512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s-AR" w:eastAsia="es-ES" w:bidi="ar-SA"/>
      </w:rPr>
    </w:rPrDefault>
    <w:pPrDefault>
      <w:pPr>
        <w:spacing w:after="200" w:line="360"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1"/>
    <w:next w:val="Normal1"/>
    <w:link w:val="Ttulo1Car"/>
    <w:uiPriority w:val="9"/>
    <w:qFormat/>
    <w:rsid w:val="002619C5"/>
    <w:pPr>
      <w:keepNext/>
      <w:keepLines/>
      <w:spacing w:after="120"/>
      <w:ind w:firstLine="720"/>
      <w:outlineLvl w:val="0"/>
    </w:pPr>
    <w:rPr>
      <w:b/>
      <w:bCs/>
    </w:rPr>
  </w:style>
  <w:style w:type="paragraph" w:styleId="Ttulo2">
    <w:name w:val="heading 2"/>
    <w:basedOn w:val="Normal1"/>
    <w:next w:val="Normal1"/>
    <w:rsid w:val="002619C5"/>
    <w:pPr>
      <w:keepNext/>
      <w:keepLines/>
      <w:spacing w:before="360" w:after="120"/>
      <w:outlineLvl w:val="1"/>
    </w:pPr>
    <w:rPr>
      <w:sz w:val="32"/>
      <w:szCs w:val="32"/>
    </w:rPr>
  </w:style>
  <w:style w:type="paragraph" w:styleId="Ttulo3">
    <w:name w:val="heading 3"/>
    <w:basedOn w:val="Normal1"/>
    <w:next w:val="Normal1"/>
    <w:rsid w:val="002619C5"/>
    <w:pPr>
      <w:keepNext/>
      <w:keepLines/>
      <w:spacing w:before="320" w:after="80"/>
      <w:outlineLvl w:val="2"/>
    </w:pPr>
    <w:rPr>
      <w:color w:val="434343"/>
      <w:sz w:val="28"/>
      <w:szCs w:val="28"/>
    </w:rPr>
  </w:style>
  <w:style w:type="paragraph" w:styleId="Ttulo4">
    <w:name w:val="heading 4"/>
    <w:basedOn w:val="Normal1"/>
    <w:next w:val="Normal1"/>
    <w:rsid w:val="002619C5"/>
    <w:pPr>
      <w:keepNext/>
      <w:keepLines/>
      <w:spacing w:before="280" w:after="80"/>
      <w:outlineLvl w:val="3"/>
    </w:pPr>
    <w:rPr>
      <w:color w:val="666666"/>
    </w:rPr>
  </w:style>
  <w:style w:type="paragraph" w:styleId="Ttulo5">
    <w:name w:val="heading 5"/>
    <w:basedOn w:val="Normal1"/>
    <w:next w:val="Normal1"/>
    <w:rsid w:val="002619C5"/>
    <w:pPr>
      <w:keepNext/>
      <w:keepLines/>
      <w:spacing w:before="240" w:after="80"/>
      <w:outlineLvl w:val="4"/>
    </w:pPr>
    <w:rPr>
      <w:color w:val="666666"/>
      <w:sz w:val="22"/>
      <w:szCs w:val="22"/>
    </w:rPr>
  </w:style>
  <w:style w:type="paragraph" w:styleId="Ttulo6">
    <w:name w:val="heading 6"/>
    <w:basedOn w:val="Normal1"/>
    <w:next w:val="Normal1"/>
    <w:rsid w:val="002619C5"/>
    <w:pPr>
      <w:keepNext/>
      <w:keepLines/>
      <w:spacing w:before="240" w:after="80"/>
      <w:outlineLvl w:val="5"/>
    </w:pPr>
    <w:rPr>
      <w:i/>
      <w:iCs/>
      <w:color w:val="666666"/>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rsid w:val="002619C5"/>
    <w:tblPr>
      <w:tblCellMar>
        <w:top w:w="100" w:type="dxa"/>
        <w:left w:w="100" w:type="dxa"/>
        <w:bottom w:w="100" w:type="dxa"/>
        <w:right w:w="100" w:type="dxa"/>
      </w:tblCellMar>
    </w:tblPr>
  </w:style>
  <w:style w:type="paragraph" w:customStyle="1" w:styleId="Normal1">
    <w:name w:val="Normal1"/>
    <w:rsid w:val="002619C5"/>
  </w:style>
  <w:style w:type="paragraph" w:styleId="Ttulo">
    <w:name w:val="Title"/>
    <w:basedOn w:val="Normal1"/>
    <w:next w:val="Normal1"/>
    <w:rsid w:val="002619C5"/>
    <w:pPr>
      <w:keepNext/>
      <w:keepLines/>
      <w:spacing w:after="60"/>
    </w:pPr>
    <w:rPr>
      <w:sz w:val="52"/>
      <w:szCs w:val="52"/>
    </w:rPr>
  </w:style>
  <w:style w:type="paragraph" w:styleId="Subttulo">
    <w:name w:val="Subtitle"/>
    <w:basedOn w:val="Normal1"/>
    <w:next w:val="Normal1"/>
    <w:rsid w:val="002619C5"/>
    <w:pPr>
      <w:keepNext/>
      <w:keepLines/>
      <w:spacing w:after="320"/>
    </w:pPr>
    <w:rPr>
      <w:rFonts w:ascii="Arial" w:eastAsia="Arial" w:hAnsi="Arial" w:cs="Arial"/>
      <w:color w:val="666666"/>
      <w:sz w:val="30"/>
      <w:szCs w:val="30"/>
    </w:rPr>
  </w:style>
  <w:style w:type="table" w:customStyle="1" w:styleId="a">
    <w:basedOn w:val="TableNormal"/>
    <w:rsid w:val="002619C5"/>
    <w:tblPr>
      <w:tblStyleRowBandSize w:val="1"/>
      <w:tblStyleColBandSize w:val="1"/>
    </w:tblPr>
  </w:style>
  <w:style w:type="table" w:customStyle="1" w:styleId="a0">
    <w:basedOn w:val="TableNormal"/>
    <w:rsid w:val="002619C5"/>
    <w:tblPr>
      <w:tblStyleRowBandSize w:val="1"/>
      <w:tblStyleColBandSize w:val="1"/>
    </w:tblPr>
  </w:style>
  <w:style w:type="table" w:customStyle="1" w:styleId="a1">
    <w:basedOn w:val="TableNormal"/>
    <w:rsid w:val="002619C5"/>
    <w:tblPr>
      <w:tblStyleRowBandSize w:val="1"/>
      <w:tblStyleColBandSize w:val="1"/>
    </w:tblPr>
  </w:style>
  <w:style w:type="table" w:customStyle="1" w:styleId="a2">
    <w:basedOn w:val="TableNormal"/>
    <w:rsid w:val="002619C5"/>
    <w:tblPr>
      <w:tblStyleRowBandSize w:val="1"/>
      <w:tblStyleColBandSize w:val="1"/>
    </w:tblPr>
  </w:style>
  <w:style w:type="table" w:customStyle="1" w:styleId="a3">
    <w:basedOn w:val="TableNormal"/>
    <w:rsid w:val="002619C5"/>
    <w:tblPr>
      <w:tblStyleRowBandSize w:val="1"/>
      <w:tblStyleColBandSize w:val="1"/>
    </w:tblPr>
  </w:style>
  <w:style w:type="table" w:customStyle="1" w:styleId="a4">
    <w:basedOn w:val="TableNormal"/>
    <w:rsid w:val="002619C5"/>
    <w:tblPr>
      <w:tblStyleRowBandSize w:val="1"/>
      <w:tblStyleColBandSize w:val="1"/>
    </w:tblPr>
  </w:style>
  <w:style w:type="paragraph" w:styleId="Textodeglobo">
    <w:name w:val="Balloon Text"/>
    <w:basedOn w:val="Normal"/>
    <w:link w:val="TextodegloboCar"/>
    <w:uiPriority w:val="99"/>
    <w:semiHidden/>
    <w:unhideWhenUsed/>
    <w:rsid w:val="00377CC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77CC0"/>
    <w:rPr>
      <w:rFonts w:ascii="Tahoma" w:hAnsi="Tahoma" w:cs="Tahoma"/>
      <w:sz w:val="16"/>
      <w:szCs w:val="16"/>
    </w:rPr>
  </w:style>
  <w:style w:type="paragraph" w:styleId="Encabezado">
    <w:name w:val="header"/>
    <w:basedOn w:val="Normal"/>
    <w:link w:val="EncabezadoCar"/>
    <w:uiPriority w:val="99"/>
    <w:semiHidden/>
    <w:unhideWhenUsed/>
    <w:rsid w:val="00377CC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377CC0"/>
  </w:style>
  <w:style w:type="paragraph" w:styleId="Piedepgina">
    <w:name w:val="footer"/>
    <w:basedOn w:val="Normal"/>
    <w:link w:val="PiedepginaCar"/>
    <w:uiPriority w:val="99"/>
    <w:semiHidden/>
    <w:unhideWhenUsed/>
    <w:rsid w:val="00377CC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377CC0"/>
  </w:style>
  <w:style w:type="character" w:customStyle="1" w:styleId="Ttulo1Car">
    <w:name w:val="Título 1 Car"/>
    <w:basedOn w:val="Fuentedeprrafopredeter"/>
    <w:link w:val="Ttulo1"/>
    <w:uiPriority w:val="9"/>
    <w:rsid w:val="00B46B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tud.epsilon.slu.se/18409/1/Jonsson-m-221020.pdf"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produccion-animal.com.ar/produccion_jabalies/22-carne_jabali.pd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pcient.uner.edu.ar/index.php/Scdyt/article/view/2607/2719"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rgentina.gob.ar/sites/default/files/capitulo_vi_carneos_actualiz_2025-04.pdf" TargetMode="External"/><Relationship Id="rId5" Type="http://schemas.openxmlformats.org/officeDocument/2006/relationships/webSettings" Target="webSettings.xml"/><Relationship Id="rId15" Type="http://schemas.openxmlformats.org/officeDocument/2006/relationships/hyperlink" Target="https://alimentosargentinos.magyp.gob.ar/HomeAlimentos/seguridad-alimentaria-y-nutricion/fichaspdf/Ficha_56_Carne_de_jabali.pdf" TargetMode="Externa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1590/S0103-90162003000100001"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8A8C9E-2A8D-4DED-8E94-95E2D4E5F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4012</Words>
  <Characters>22070</Characters>
  <Application>Microsoft Office Word</Application>
  <DocSecurity>0</DocSecurity>
  <Lines>183</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2026-07-02T14:59:00Z</dcterms:created>
  <dcterms:modified xsi:type="dcterms:W3CDTF">2026-07-02T14:59:00Z</dcterms:modified>
</cp:coreProperties>
</file>