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FC42A" w14:textId="77777777" w:rsidR="003605EC" w:rsidRDefault="007A478D">
      <w:pPr>
        <w:spacing w:after="287" w:line="274" w:lineRule="auto"/>
        <w:ind w:left="4051" w:hanging="3752"/>
        <w:jc w:val="left"/>
      </w:pPr>
      <w:r>
        <w:rPr>
          <w:b/>
          <w:u w:val="single" w:color="000000"/>
        </w:rPr>
        <w:t>El Oro Rojo de la Agroindustria: Harina de Sangre Bovina y la Revolución Nutricional de</w:t>
      </w:r>
      <w:r>
        <w:rPr>
          <w:b/>
        </w:rPr>
        <w:t xml:space="preserve"> </w:t>
      </w:r>
      <w:proofErr w:type="spellStart"/>
      <w:r>
        <w:rPr>
          <w:b/>
          <w:u w:val="single" w:color="000000"/>
        </w:rPr>
        <w:t>CrocanFe</w:t>
      </w:r>
      <w:proofErr w:type="spellEnd"/>
      <w:r>
        <w:rPr>
          <w:b/>
        </w:rPr>
        <w:t xml:space="preserve"> </w:t>
      </w:r>
    </w:p>
    <w:p w14:paraId="4A153A4D" w14:textId="77777777" w:rsidR="003605EC" w:rsidRDefault="007A478D">
      <w:pPr>
        <w:pStyle w:val="Ttulo1"/>
        <w:ind w:left="-5"/>
      </w:pPr>
      <w:r>
        <w:t>1. El Desafío Global de la Anemia</w:t>
      </w:r>
      <w:r>
        <w:rPr>
          <w:rFonts w:ascii="Arial" w:eastAsia="Arial" w:hAnsi="Arial" w:cs="Arial"/>
          <w:color w:val="666666"/>
          <w:u w:val="none"/>
        </w:rPr>
        <w:t xml:space="preserve"> </w:t>
      </w:r>
    </w:p>
    <w:p w14:paraId="2B6A7AE9" w14:textId="77777777" w:rsidR="003605EC" w:rsidRDefault="007A478D">
      <w:pPr>
        <w:ind w:left="-5"/>
      </w:pPr>
      <w:r>
        <w:t xml:space="preserve"> La Organización Mundial de la Salud (OMS) reporta una disparidad crítica en la disponibilidad de hemoderivados. De </w:t>
      </w:r>
      <w:proofErr w:type="gramStart"/>
      <w:r>
        <w:t>las 118,5 millones</w:t>
      </w:r>
      <w:proofErr w:type="gramEnd"/>
      <w:r>
        <w:t xml:space="preserve"> de donaciones anuales, el 40% se concentra en países de altos ingresos. En contraste, en las naciones de bajos ingresos, la demanda clínica está impulsada por la urgencia pediátrica: hasta el 54% de las transfusiones se destinan a niños menores de 5 años, principalmente para tratar cuadros de anemia infantil severa.  </w:t>
      </w:r>
    </w:p>
    <w:p w14:paraId="2EF9F571" w14:textId="77777777" w:rsidR="003605EC" w:rsidRDefault="007A478D">
      <w:pPr>
        <w:ind w:left="-5"/>
      </w:pPr>
      <w:r>
        <w:t xml:space="preserve"> Este escenario no es solo una crisis de salud, sino un fallo sistémico en la cadena de prevención nutricional que ignora un recurso biotecnológico masivo: la sangre bovina. </w:t>
      </w:r>
    </w:p>
    <w:p w14:paraId="03CC8FB9" w14:textId="77777777" w:rsidR="00BC67E6" w:rsidRDefault="00BC67E6">
      <w:pPr>
        <w:ind w:left="-5"/>
      </w:pPr>
    </w:p>
    <w:p w14:paraId="2B61017E" w14:textId="12F30326" w:rsidR="00BC67E6" w:rsidRDefault="00BC67E6">
      <w:pPr>
        <w:ind w:left="-5"/>
      </w:pPr>
      <w:r>
        <w:t xml:space="preserve"> </w:t>
      </w:r>
      <w:r w:rsidRPr="00BC67E6">
        <w:t xml:space="preserve">La sangre representa entre el 3% y el 4% del peso vivo de los animales de abasto, lo que equivale a la recolección de unos 10 a 12 litros por cada bovino procesado. En la industria avícola ocurre una situación similar: aunque el volumen por ave es mucho menor, la faena masiva acumula cantidades industriales de este líquido. Históricamente, no aprovechar esta sangre ha significado un grave problema de contaminación ambiental y un enorme costo económico para las plantas en el tratamiento de sus efluentes. </w:t>
      </w:r>
    </w:p>
    <w:p w14:paraId="29298961" w14:textId="42AA79F7" w:rsidR="00BC67E6" w:rsidRDefault="00BC67E6">
      <w:pPr>
        <w:ind w:left="-5"/>
      </w:pPr>
      <w:r>
        <w:t xml:space="preserve"> </w:t>
      </w:r>
      <w:r w:rsidRPr="00BC67E6">
        <w:t>Sin embargo, al procesarla adecuadamente, se transforma un desecho altamente contaminante en un recurso estratégico de altísimo valor comercial y nutricional</w:t>
      </w:r>
      <w:r>
        <w:t>.</w:t>
      </w:r>
    </w:p>
    <w:p w14:paraId="4649BDC0" w14:textId="77777777" w:rsidR="003605EC" w:rsidRDefault="007A478D">
      <w:pPr>
        <w:spacing w:after="294"/>
        <w:ind w:left="-5"/>
      </w:pPr>
      <w:r>
        <w:t xml:space="preserve">La industria está redefiniendo este subproducto, lo que históricamente fue un pasivo ambiental y un costo crítico en el tratamiento de efluentes, se consolida hoy como una materia prima estratégica. La transformación de este "desperdicio" en harina de grado alimenticio no es sólo un imperativo ético para combatir la desnutrición, sino el núcleo de un modelo de negocio de alta rentabilidad basado en la economía circular. </w:t>
      </w:r>
    </w:p>
    <w:p w14:paraId="16015674" w14:textId="77777777" w:rsidR="003605EC" w:rsidRDefault="007A478D">
      <w:pPr>
        <w:pStyle w:val="Ttulo1"/>
        <w:ind w:left="-5"/>
      </w:pPr>
      <w:r>
        <w:t>2. Valorización Estratégica y Perfil Bioquímico del Ingrediente</w:t>
      </w:r>
      <w:r>
        <w:rPr>
          <w:rFonts w:ascii="Arial" w:eastAsia="Arial" w:hAnsi="Arial" w:cs="Arial"/>
          <w:color w:val="666666"/>
          <w:u w:val="none"/>
        </w:rPr>
        <w:t xml:space="preserve"> </w:t>
      </w:r>
    </w:p>
    <w:p w14:paraId="4C5E629A" w14:textId="77777777" w:rsidR="003605EC" w:rsidRDefault="007A478D">
      <w:pPr>
        <w:ind w:left="-5"/>
      </w:pPr>
      <w:r>
        <w:t xml:space="preserve">La harina de sangre bovina supera drásticamente a cualquier fuente proteica vegetal en densidad y funcionalidad. Su perfil bioquímico revela por qué es el estándar de oro para la fortificación: </w:t>
      </w:r>
    </w:p>
    <w:p w14:paraId="5BF98C34" w14:textId="77777777" w:rsidR="003605EC" w:rsidRDefault="007A478D">
      <w:pPr>
        <w:numPr>
          <w:ilvl w:val="0"/>
          <w:numId w:val="1"/>
        </w:numPr>
        <w:ind w:hanging="360"/>
      </w:pPr>
      <w:r>
        <w:rPr>
          <w:b/>
        </w:rPr>
        <w:t>Densidad Proteica:</w:t>
      </w:r>
      <w:r>
        <w:t xml:space="preserve">  Concentraciones de proteína cruda entre el 70% y el 90%. </w:t>
      </w:r>
    </w:p>
    <w:p w14:paraId="0F849410" w14:textId="77777777" w:rsidR="003605EC" w:rsidRDefault="007A478D">
      <w:pPr>
        <w:numPr>
          <w:ilvl w:val="0"/>
          <w:numId w:val="1"/>
        </w:numPr>
        <w:ind w:hanging="360"/>
      </w:pPr>
      <w:r>
        <w:rPr>
          <w:b/>
        </w:rPr>
        <w:t>Aminoácidos Críticos:</w:t>
      </w:r>
      <w:r>
        <w:t xml:space="preserve">  Riqueza excepcional en lisina (7.0% - 9.0%), esencial para equilibrar dietas basadas en cereales. </w:t>
      </w:r>
    </w:p>
    <w:p w14:paraId="6C30F63D" w14:textId="77777777" w:rsidR="003605EC" w:rsidRDefault="007A478D">
      <w:pPr>
        <w:numPr>
          <w:ilvl w:val="0"/>
          <w:numId w:val="1"/>
        </w:numPr>
        <w:ind w:hanging="360"/>
      </w:pPr>
      <w:r>
        <w:rPr>
          <w:b/>
        </w:rPr>
        <w:t xml:space="preserve">Hierro </w:t>
      </w:r>
      <w:proofErr w:type="spellStart"/>
      <w:r>
        <w:rPr>
          <w:b/>
        </w:rPr>
        <w:t>Hemínico</w:t>
      </w:r>
      <w:proofErr w:type="spellEnd"/>
      <w:r>
        <w:rPr>
          <w:b/>
        </w:rPr>
        <w:t xml:space="preserve"> (Heme):</w:t>
      </w:r>
      <w:r>
        <w:t xml:space="preserve">  A diferencia del hierro inorgánico de los suplementos sintéticos, el hierro de la sangre está coordinado en anillos de porfirina. </w:t>
      </w:r>
    </w:p>
    <w:p w14:paraId="2D63667E" w14:textId="586FAE5F" w:rsidR="003605EC" w:rsidRDefault="007A478D">
      <w:pPr>
        <w:numPr>
          <w:ilvl w:val="0"/>
          <w:numId w:val="1"/>
        </w:numPr>
        <w:ind w:hanging="360"/>
      </w:pPr>
      <w:r>
        <w:rPr>
          <w:b/>
        </w:rPr>
        <w:t>Biodisponibilidad del 35%:</w:t>
      </w:r>
      <w:r>
        <w:t xml:space="preserve">  Utiliza el transportador biológico específico </w:t>
      </w:r>
      <w:r>
        <w:rPr>
          <w:b/>
        </w:rPr>
        <w:t>HCP1</w:t>
      </w:r>
      <w:r>
        <w:t xml:space="preserve"> (Heme Carrier </w:t>
      </w:r>
      <w:proofErr w:type="spellStart"/>
      <w:r>
        <w:t>Protein</w:t>
      </w:r>
      <w:proofErr w:type="spellEnd"/>
      <w:r>
        <w:t xml:space="preserve"> 1) en el intestino delgado. </w:t>
      </w:r>
    </w:p>
    <w:p w14:paraId="595FABA4" w14:textId="77777777" w:rsidR="003605EC" w:rsidRDefault="007A478D">
      <w:pPr>
        <w:numPr>
          <w:ilvl w:val="0"/>
          <w:numId w:val="1"/>
        </w:numPr>
        <w:ind w:hanging="360"/>
      </w:pPr>
      <w:r>
        <w:rPr>
          <w:b/>
        </w:rPr>
        <w:t>Resistencia a Inhibidores:</w:t>
      </w:r>
      <w:r>
        <w:t xml:space="preserve">  Su absorción es inmune a los </w:t>
      </w:r>
      <w:proofErr w:type="spellStart"/>
      <w:r>
        <w:t>fitatos</w:t>
      </w:r>
      <w:proofErr w:type="spellEnd"/>
      <w:r>
        <w:t xml:space="preserve"> y taninos que bloquean el hierro vegetal. </w:t>
      </w:r>
    </w:p>
    <w:p w14:paraId="46489170" w14:textId="77777777" w:rsidR="003605EC" w:rsidRDefault="007A478D">
      <w:pPr>
        <w:numPr>
          <w:ilvl w:val="0"/>
          <w:numId w:val="1"/>
        </w:numPr>
        <w:spacing w:after="294"/>
        <w:ind w:hanging="360"/>
      </w:pPr>
      <w:r>
        <w:rPr>
          <w:b/>
        </w:rPr>
        <w:t>Estimación Matemática:</w:t>
      </w:r>
      <w:r>
        <w:t xml:space="preserve">  La ciencia moderna emplea algoritmos que separan el hierro </w:t>
      </w:r>
      <w:proofErr w:type="spellStart"/>
      <w:r>
        <w:t>hemínico</w:t>
      </w:r>
      <w:proofErr w:type="spellEnd"/>
      <w:r>
        <w:t xml:space="preserve"> del no </w:t>
      </w:r>
      <w:proofErr w:type="spellStart"/>
      <w:r>
        <w:t>hemínico</w:t>
      </w:r>
      <w:proofErr w:type="spellEnd"/>
      <w:r>
        <w:t xml:space="preserve">, aplicando factores de absorción del 25% para el primero, validando su superioridad metabólica frente a cualquier compuesto sintético que suele generar malestar gastrointestinal. </w:t>
      </w:r>
    </w:p>
    <w:p w14:paraId="69004DE0" w14:textId="77777777" w:rsidR="003605EC" w:rsidRDefault="007A478D">
      <w:pPr>
        <w:pStyle w:val="Ttulo1"/>
        <w:ind w:left="-5"/>
      </w:pPr>
      <w:r>
        <w:t>3. Anatomía de la Sangre: Plasma, Hemoglobina y Fibrina</w:t>
      </w:r>
      <w:r>
        <w:rPr>
          <w:rFonts w:ascii="Arial" w:eastAsia="Arial" w:hAnsi="Arial" w:cs="Arial"/>
          <w:color w:val="666666"/>
          <w:u w:val="none"/>
        </w:rPr>
        <w:t xml:space="preserve"> </w:t>
      </w:r>
    </w:p>
    <w:p w14:paraId="4BB8828F" w14:textId="77777777" w:rsidR="003605EC" w:rsidRDefault="007A478D">
      <w:pPr>
        <w:ind w:left="-5"/>
      </w:pPr>
      <w:r>
        <w:t xml:space="preserve">El fraccionamiento técnico permite aislar los componentes: </w:t>
      </w:r>
    </w:p>
    <w:p w14:paraId="00758F48" w14:textId="74469A19" w:rsidR="003605EC" w:rsidRDefault="007A478D">
      <w:pPr>
        <w:numPr>
          <w:ilvl w:val="0"/>
          <w:numId w:val="2"/>
        </w:numPr>
        <w:ind w:hanging="360"/>
      </w:pPr>
      <w:r>
        <w:rPr>
          <w:b/>
        </w:rPr>
        <w:lastRenderedPageBreak/>
        <w:t>Plasma:</w:t>
      </w:r>
      <w:r>
        <w:t xml:space="preserve"> Fracción clara obtenida por centrifugación. Destaca por su perfil sensorial neutro y alta solubilidad, ideal para integrarse en matrices alimentarias sin alterar el sabor. </w:t>
      </w:r>
    </w:p>
    <w:p w14:paraId="39065CC7" w14:textId="3EC78256" w:rsidR="003605EC" w:rsidRDefault="007A478D">
      <w:pPr>
        <w:numPr>
          <w:ilvl w:val="0"/>
          <w:numId w:val="2"/>
        </w:numPr>
        <w:ind w:hanging="360"/>
      </w:pPr>
      <w:r>
        <w:rPr>
          <w:b/>
        </w:rPr>
        <w:t>Hemoglobina:</w:t>
      </w:r>
      <w:r>
        <w:t xml:space="preserve">  Concentrado de glóbulos rojos procesado por </w:t>
      </w:r>
      <w:r>
        <w:rPr>
          <w:i/>
        </w:rPr>
        <w:t>spray-</w:t>
      </w:r>
      <w:proofErr w:type="spellStart"/>
      <w:r>
        <w:rPr>
          <w:i/>
        </w:rPr>
        <w:t>drying</w:t>
      </w:r>
      <w:proofErr w:type="spellEnd"/>
      <w:r>
        <w:t xml:space="preserve">. Es el núcleo del hierro </w:t>
      </w:r>
      <w:proofErr w:type="spellStart"/>
      <w:r>
        <w:t>hemínico</w:t>
      </w:r>
      <w:proofErr w:type="spellEnd"/>
      <w:r>
        <w:t xml:space="preserve"> y la fuente de la mayor densidad proteica. </w:t>
      </w:r>
    </w:p>
    <w:p w14:paraId="44220ACC" w14:textId="77777777" w:rsidR="003605EC" w:rsidRDefault="007A478D">
      <w:pPr>
        <w:spacing w:after="24" w:line="259" w:lineRule="auto"/>
        <w:ind w:left="720" w:firstLine="0"/>
        <w:jc w:val="left"/>
      </w:pPr>
      <w:r>
        <w:t xml:space="preserve"> </w:t>
      </w:r>
    </w:p>
    <w:p w14:paraId="69050481" w14:textId="5392B8C7" w:rsidR="003605EC" w:rsidRDefault="007A478D">
      <w:pPr>
        <w:numPr>
          <w:ilvl w:val="0"/>
          <w:numId w:val="2"/>
        </w:numPr>
        <w:ind w:hanging="360"/>
      </w:pPr>
      <w:r>
        <w:rPr>
          <w:b/>
        </w:rPr>
        <w:t>Fibrina:</w:t>
      </w:r>
      <w:r>
        <w:t xml:space="preserve"> Subproducto de la concentración térmica obtenido específicamente en el equipo </w:t>
      </w:r>
      <w:proofErr w:type="spellStart"/>
      <w:r>
        <w:rPr>
          <w:b/>
        </w:rPr>
        <w:t>Falling</w:t>
      </w:r>
      <w:proofErr w:type="spellEnd"/>
      <w:r>
        <w:rPr>
          <w:b/>
        </w:rPr>
        <w:t xml:space="preserve"> Film </w:t>
      </w:r>
      <w:proofErr w:type="spellStart"/>
      <w:r>
        <w:rPr>
          <w:b/>
        </w:rPr>
        <w:t>Evaporator</w:t>
      </w:r>
      <w:proofErr w:type="spellEnd"/>
      <w:r>
        <w:rPr>
          <w:b/>
        </w:rPr>
        <w:t xml:space="preserve"> (FFE)</w:t>
      </w:r>
      <w:r>
        <w:t xml:space="preserve">. Actúa como un mejorador crítico de las propiedades estructurales y reológicas en complejos orgánicos. </w:t>
      </w:r>
    </w:p>
    <w:p w14:paraId="008AC540" w14:textId="77777777" w:rsidR="003605EC" w:rsidRDefault="007A478D">
      <w:pPr>
        <w:pStyle w:val="Ttulo1"/>
        <w:ind w:left="-5"/>
      </w:pPr>
      <w:r>
        <w:t>4. El Proceso Industrial: Del Matadero al Polvo Funcional</w:t>
      </w:r>
      <w:r>
        <w:rPr>
          <w:rFonts w:ascii="Arial" w:eastAsia="Arial" w:hAnsi="Arial" w:cs="Arial"/>
          <w:color w:val="666666"/>
          <w:u w:val="none"/>
        </w:rPr>
        <w:t xml:space="preserve"> </w:t>
      </w:r>
    </w:p>
    <w:p w14:paraId="66BDC971" w14:textId="77777777" w:rsidR="003605EC" w:rsidRDefault="007A478D">
      <w:pPr>
        <w:ind w:left="-5"/>
      </w:pPr>
      <w:r>
        <w:t xml:space="preserve">Siguiendo el flujo de producción técnica, la preservación de la calidad nutricional depende de un control riguroso de las variables físicas: </w:t>
      </w:r>
    </w:p>
    <w:p w14:paraId="19E5DFCD" w14:textId="06DFE122" w:rsidR="003605EC" w:rsidRDefault="007A478D">
      <w:pPr>
        <w:numPr>
          <w:ilvl w:val="0"/>
          <w:numId w:val="3"/>
        </w:numPr>
        <w:ind w:hanging="543"/>
      </w:pPr>
      <w:r>
        <w:rPr>
          <w:b/>
        </w:rPr>
        <w:t>Recolección y Estabilización:</w:t>
      </w:r>
      <w:r>
        <w:t xml:space="preserve"> Extracción aséptica en matadero con adición inmediata de citrato de sodio (3 g/L) y enfriamiento a 5°C-10°C para inhibir la proliferación microbiana. </w:t>
      </w:r>
    </w:p>
    <w:p w14:paraId="22C7820F" w14:textId="202BDB66" w:rsidR="003605EC" w:rsidRDefault="007A478D">
      <w:pPr>
        <w:numPr>
          <w:ilvl w:val="0"/>
          <w:numId w:val="3"/>
        </w:numPr>
        <w:ind w:hanging="543"/>
      </w:pPr>
      <w:r>
        <w:rPr>
          <w:b/>
        </w:rPr>
        <w:t>Fraccionamiento y Concentración:</w:t>
      </w:r>
      <w:r>
        <w:t xml:space="preserve"> Uso de centrífugas de alta velocidad y tecnologías de membrana (Ósmosis Inversa, Ultrafiltración o Nanofiltración) para elevar los sólidos proteicos sin estrés térmico degradante. </w:t>
      </w:r>
    </w:p>
    <w:p w14:paraId="5AD530F8" w14:textId="55CC7831" w:rsidR="003605EC" w:rsidRDefault="007A478D">
      <w:pPr>
        <w:numPr>
          <w:ilvl w:val="0"/>
          <w:numId w:val="3"/>
        </w:numPr>
        <w:spacing w:after="294"/>
        <w:ind w:hanging="543"/>
      </w:pPr>
      <w:r>
        <w:rPr>
          <w:b/>
        </w:rPr>
        <w:t>Secado por Atomización (Spray-</w:t>
      </w:r>
      <w:proofErr w:type="spellStart"/>
      <w:r>
        <w:rPr>
          <w:b/>
        </w:rPr>
        <w:t>Drying</w:t>
      </w:r>
      <w:proofErr w:type="spellEnd"/>
      <w:r>
        <w:rPr>
          <w:b/>
        </w:rPr>
        <w:t>):</w:t>
      </w:r>
      <w:r>
        <w:t xml:space="preserve"> Es el estándar innegociable. El equipo pulveriza el líquido en microgotas, aumentando 700 veces su superficie de contacto. Se utiliza el principio biofísico del </w:t>
      </w:r>
      <w:r>
        <w:rPr>
          <w:b/>
        </w:rPr>
        <w:t>calor latente de evaporación</w:t>
      </w:r>
      <w:r>
        <w:t xml:space="preserve">; aunque el aire ingresa a 160-230°C, la evaporación instantánea mantiene la partícula a una temperatura de salida de 75-90°C, evitando la reacción de Maillard y protegiendo la lisina. </w:t>
      </w:r>
    </w:p>
    <w:p w14:paraId="3FC48AC9" w14:textId="77777777" w:rsidR="003605EC" w:rsidRDefault="007A478D">
      <w:pPr>
        <w:pStyle w:val="Ttulo1"/>
        <w:ind w:left="-5"/>
      </w:pPr>
      <w:r>
        <w:t>5. Marco Regulatorio y Seguridad Alimentaria Global</w:t>
      </w:r>
      <w:r>
        <w:rPr>
          <w:rFonts w:ascii="Arial" w:eastAsia="Arial" w:hAnsi="Arial" w:cs="Arial"/>
          <w:color w:val="666666"/>
          <w:u w:val="none"/>
        </w:rPr>
        <w:t xml:space="preserve"> </w:t>
      </w:r>
    </w:p>
    <w:p w14:paraId="720D220D" w14:textId="77777777" w:rsidR="003605EC" w:rsidRDefault="007A478D">
      <w:pPr>
        <w:ind w:left="-5"/>
      </w:pPr>
      <w:r>
        <w:t xml:space="preserve"> La comercialización exige el cumplimiento de marcos normativos estrictos que aseguran la inocuidad: FDA (Estados Unidos</w:t>
      </w:r>
      <w:proofErr w:type="gramStart"/>
      <w:r>
        <w:t>),  EFSA</w:t>
      </w:r>
      <w:proofErr w:type="gramEnd"/>
      <w:r>
        <w:t xml:space="preserve"> (Unión Europea), Estatus  </w:t>
      </w:r>
      <w:r>
        <w:rPr>
          <w:b/>
        </w:rPr>
        <w:t>GRAS</w:t>
      </w:r>
      <w:r>
        <w:t xml:space="preserve">  (Generalmente Reconocido como Seguro) mediante autodeterminación científica o "carta de no objeción".  </w:t>
      </w:r>
    </w:p>
    <w:p w14:paraId="7CE02F2D" w14:textId="77777777" w:rsidR="003605EC" w:rsidRDefault="007A478D">
      <w:pPr>
        <w:ind w:left="-5"/>
      </w:pPr>
      <w:r>
        <w:t xml:space="preserve"> Clasificados </w:t>
      </w:r>
      <w:proofErr w:type="gramStart"/>
      <w:r>
        <w:t xml:space="preserve">como  </w:t>
      </w:r>
      <w:r>
        <w:rPr>
          <w:b/>
        </w:rPr>
        <w:t>"</w:t>
      </w:r>
      <w:proofErr w:type="gramEnd"/>
      <w:r>
        <w:rPr>
          <w:b/>
        </w:rPr>
        <w:t xml:space="preserve">Novel </w:t>
      </w:r>
      <w:proofErr w:type="spellStart"/>
      <w:r>
        <w:rPr>
          <w:b/>
        </w:rPr>
        <w:t>Foods</w:t>
      </w:r>
      <w:proofErr w:type="spellEnd"/>
      <w:r>
        <w:rPr>
          <w:b/>
        </w:rPr>
        <w:t>"</w:t>
      </w:r>
      <w:r>
        <w:t xml:space="preserve">  si no hay historial de consumo previo a 1997; requiere evaluación rigurosa.   </w:t>
      </w:r>
    </w:p>
    <w:p w14:paraId="3F7EC543" w14:textId="77777777" w:rsidR="003605EC" w:rsidRDefault="007A478D">
      <w:pPr>
        <w:ind w:left="-5"/>
      </w:pPr>
      <w:r>
        <w:t>Enfoque en la eliminación de patógenos mediante procesos validados como el spray-</w:t>
      </w:r>
      <w:proofErr w:type="spellStart"/>
      <w:r>
        <w:t>drying</w:t>
      </w:r>
      <w:proofErr w:type="spellEnd"/>
      <w:r>
        <w:t xml:space="preserve">. </w:t>
      </w:r>
      <w:r>
        <w:rPr>
          <w:b/>
        </w:rPr>
        <w:t>Reglamento (UE) 152/</w:t>
      </w:r>
      <w:proofErr w:type="gramStart"/>
      <w:r>
        <w:rPr>
          <w:b/>
        </w:rPr>
        <w:t>2009</w:t>
      </w:r>
      <w:r>
        <w:t xml:space="preserve"> :</w:t>
      </w:r>
      <w:proofErr w:type="gramEnd"/>
      <w:r>
        <w:t xml:space="preserve"> Exige el uso de  </w:t>
      </w:r>
      <w:r>
        <w:rPr>
          <w:b/>
        </w:rPr>
        <w:t>microscopía</w:t>
      </w:r>
      <w:r>
        <w:t xml:space="preserve">  como método oficial para identificar proteínas y evitar el reciclaje </w:t>
      </w:r>
      <w:proofErr w:type="spellStart"/>
      <w:r>
        <w:t>intraespecie</w:t>
      </w:r>
      <w:proofErr w:type="spellEnd"/>
      <w:r>
        <w:t xml:space="preserve">.  </w:t>
      </w:r>
    </w:p>
    <w:p w14:paraId="7D62752D" w14:textId="77777777" w:rsidR="003605EC" w:rsidRDefault="007A478D">
      <w:pPr>
        <w:spacing w:after="296"/>
        <w:ind w:left="-5"/>
      </w:pPr>
      <w:r>
        <w:t xml:space="preserve">Autoriza límites de hierro basados en el consumo diario estimado para evitar toxicidad.  </w:t>
      </w:r>
    </w:p>
    <w:p w14:paraId="45363762" w14:textId="77777777" w:rsidR="003605EC" w:rsidRDefault="007A478D">
      <w:pPr>
        <w:pStyle w:val="Ttulo1"/>
        <w:ind w:left="-5"/>
      </w:pPr>
      <w:r>
        <w:t>6. Requerimientos de Envase y Etiquetado: Ciencia de la Conservación</w:t>
      </w:r>
      <w:r>
        <w:rPr>
          <w:rFonts w:ascii="Arial" w:eastAsia="Arial" w:hAnsi="Arial" w:cs="Arial"/>
          <w:color w:val="666666"/>
          <w:u w:val="none"/>
        </w:rPr>
        <w:t xml:space="preserve"> </w:t>
      </w:r>
    </w:p>
    <w:p w14:paraId="4BF78424" w14:textId="77777777" w:rsidR="003605EC" w:rsidRDefault="007A478D">
      <w:pPr>
        <w:ind w:left="-5"/>
      </w:pPr>
      <w:r>
        <w:t xml:space="preserve">Debido a su higroscopicidad y sensibilidad química, el envase debe cumplir especificaciones críticas: </w:t>
      </w:r>
    </w:p>
    <w:p w14:paraId="7195353D" w14:textId="77777777" w:rsidR="003605EC" w:rsidRDefault="007A478D">
      <w:pPr>
        <w:numPr>
          <w:ilvl w:val="0"/>
          <w:numId w:val="4"/>
        </w:numPr>
        <w:ind w:hanging="360"/>
      </w:pPr>
      <w:r>
        <w:rPr>
          <w:b/>
        </w:rPr>
        <w:t>Barrera:</w:t>
      </w:r>
      <w:r>
        <w:t xml:space="preserve">  Bolsas de polietileno de alta densidad (HDPE) para evitar el apelmazamiento y la degradación de aminoácidos. </w:t>
      </w:r>
    </w:p>
    <w:p w14:paraId="04284F0A" w14:textId="77777777" w:rsidR="003605EC" w:rsidRDefault="007A478D">
      <w:pPr>
        <w:numPr>
          <w:ilvl w:val="0"/>
          <w:numId w:val="4"/>
        </w:numPr>
        <w:ind w:hanging="360"/>
      </w:pPr>
      <w:r>
        <w:rPr>
          <w:b/>
        </w:rPr>
        <w:t>Opacidad Obligatoria:</w:t>
      </w:r>
      <w:r>
        <w:t xml:space="preserve">  Protección total contra la </w:t>
      </w:r>
      <w:proofErr w:type="spellStart"/>
      <w:r>
        <w:t>fotodegradación</w:t>
      </w:r>
      <w:proofErr w:type="spellEnd"/>
      <w:r>
        <w:t xml:space="preserve"> del hierro </w:t>
      </w:r>
      <w:proofErr w:type="spellStart"/>
      <w:r>
        <w:t>hemínico</w:t>
      </w:r>
      <w:proofErr w:type="spellEnd"/>
      <w:r>
        <w:t xml:space="preserve"> y la oxidación lipídica. </w:t>
      </w:r>
    </w:p>
    <w:p w14:paraId="196CD913" w14:textId="77777777" w:rsidR="003605EC" w:rsidRDefault="007A478D">
      <w:pPr>
        <w:numPr>
          <w:ilvl w:val="0"/>
          <w:numId w:val="4"/>
        </w:numPr>
        <w:spacing w:after="294"/>
        <w:ind w:hanging="360"/>
      </w:pPr>
      <w:r>
        <w:rPr>
          <w:b/>
        </w:rPr>
        <w:t>Etiquetado Legal (SENASA/CAA):</w:t>
      </w:r>
      <w:r>
        <w:t xml:space="preserve">  La denominación debe </w:t>
      </w:r>
      <w:proofErr w:type="gramStart"/>
      <w:r>
        <w:t xml:space="preserve">ser  </w:t>
      </w:r>
      <w:r>
        <w:rPr>
          <w:b/>
        </w:rPr>
        <w:t>"</w:t>
      </w:r>
      <w:proofErr w:type="gramEnd"/>
      <w:r>
        <w:rPr>
          <w:b/>
        </w:rPr>
        <w:t>Hemoglobina Bovina en Polvo"</w:t>
      </w:r>
      <w:r>
        <w:t xml:space="preserve"> . Es obligatorio declarar la trazabilidad del establecimiento frigorífico y se permiten mensajes como "Fuente de hierro de alta biodisponibilidad" y "Resistente a inhibidores dietéticos". </w:t>
      </w:r>
    </w:p>
    <w:p w14:paraId="7FD06858" w14:textId="77777777" w:rsidR="003605EC" w:rsidRDefault="007A478D">
      <w:pPr>
        <w:pStyle w:val="Ttulo1"/>
        <w:ind w:left="-5"/>
      </w:pPr>
      <w:r>
        <w:lastRenderedPageBreak/>
        <w:t xml:space="preserve">7. Caso de Aplicación: </w:t>
      </w:r>
      <w:proofErr w:type="spellStart"/>
      <w:r>
        <w:t>CrocanFe</w:t>
      </w:r>
      <w:proofErr w:type="spellEnd"/>
      <w:r>
        <w:t>, el Snack que Combate la Anemia</w:t>
      </w:r>
      <w:r>
        <w:rPr>
          <w:rFonts w:ascii="Arial" w:eastAsia="Arial" w:hAnsi="Arial" w:cs="Arial"/>
          <w:color w:val="666666"/>
          <w:u w:val="none"/>
        </w:rPr>
        <w:t xml:space="preserve"> </w:t>
      </w:r>
    </w:p>
    <w:p w14:paraId="793FEBE1" w14:textId="77777777" w:rsidR="003605EC" w:rsidRDefault="007A478D">
      <w:pPr>
        <w:ind w:left="-5"/>
      </w:pPr>
      <w:proofErr w:type="spellStart"/>
      <w:r>
        <w:rPr>
          <w:b/>
        </w:rPr>
        <w:t>CrocanFe</w:t>
      </w:r>
      <w:proofErr w:type="spellEnd"/>
      <w:r>
        <w:rPr>
          <w:b/>
        </w:rPr>
        <w:t xml:space="preserve"> </w:t>
      </w:r>
      <w:r>
        <w:t xml:space="preserve">es la materialización de esta tecnología en un snack extruido diseñado para la aceptación infantil masiva. </w:t>
      </w:r>
    </w:p>
    <w:p w14:paraId="244916F1" w14:textId="77777777" w:rsidR="003605EC" w:rsidRDefault="007A478D">
      <w:pPr>
        <w:spacing w:after="0" w:line="259" w:lineRule="auto"/>
        <w:ind w:left="0" w:firstLine="0"/>
        <w:jc w:val="left"/>
      </w:pPr>
      <w:r>
        <w:rPr>
          <w:b/>
        </w:rPr>
        <w:t xml:space="preserve"> </w:t>
      </w:r>
    </w:p>
    <w:p w14:paraId="2301ED4D" w14:textId="77777777" w:rsidR="003605EC" w:rsidRDefault="007A478D">
      <w:pPr>
        <w:spacing w:after="0" w:line="259" w:lineRule="auto"/>
        <w:ind w:left="0" w:firstLine="0"/>
        <w:jc w:val="left"/>
      </w:pPr>
      <w:r>
        <w:rPr>
          <w:b/>
          <w:i/>
          <w:color w:val="1F497D"/>
          <w:sz w:val="18"/>
        </w:rPr>
        <w:t xml:space="preserve">Tabla 1: Formulación propuesta </w:t>
      </w:r>
    </w:p>
    <w:tbl>
      <w:tblPr>
        <w:tblStyle w:val="TableGrid"/>
        <w:tblW w:w="9020" w:type="dxa"/>
        <w:tblInd w:w="10" w:type="dxa"/>
        <w:tblCellMar>
          <w:top w:w="104" w:type="dxa"/>
          <w:left w:w="40" w:type="dxa"/>
          <w:bottom w:w="70" w:type="dxa"/>
          <w:right w:w="19" w:type="dxa"/>
        </w:tblCellMar>
        <w:tblLook w:val="04A0" w:firstRow="1" w:lastRow="0" w:firstColumn="1" w:lastColumn="0" w:noHBand="0" w:noVBand="1"/>
      </w:tblPr>
      <w:tblGrid>
        <w:gridCol w:w="1840"/>
        <w:gridCol w:w="1080"/>
        <w:gridCol w:w="960"/>
        <w:gridCol w:w="5140"/>
      </w:tblGrid>
      <w:tr w:rsidR="003605EC" w14:paraId="5F3BF6A7" w14:textId="77777777">
        <w:trPr>
          <w:trHeight w:val="820"/>
        </w:trPr>
        <w:tc>
          <w:tcPr>
            <w:tcW w:w="1840" w:type="dxa"/>
            <w:tcBorders>
              <w:top w:val="single" w:sz="8" w:space="0" w:color="000000"/>
              <w:left w:val="single" w:sz="8" w:space="0" w:color="000000"/>
              <w:bottom w:val="single" w:sz="8" w:space="0" w:color="000000"/>
              <w:right w:val="single" w:sz="8" w:space="0" w:color="000000"/>
            </w:tcBorders>
            <w:vAlign w:val="bottom"/>
          </w:tcPr>
          <w:p w14:paraId="1BF95CF8" w14:textId="77777777" w:rsidR="003605EC" w:rsidRDefault="007A478D">
            <w:pPr>
              <w:spacing w:after="0" w:line="259" w:lineRule="auto"/>
              <w:ind w:left="0" w:right="50" w:firstLine="0"/>
              <w:jc w:val="center"/>
            </w:pPr>
            <w:r>
              <w:rPr>
                <w:b/>
                <w:sz w:val="18"/>
              </w:rPr>
              <w:t xml:space="preserve">Ingrediente </w:t>
            </w:r>
          </w:p>
        </w:tc>
        <w:tc>
          <w:tcPr>
            <w:tcW w:w="1080" w:type="dxa"/>
            <w:tcBorders>
              <w:top w:val="single" w:sz="8" w:space="0" w:color="000000"/>
              <w:left w:val="single" w:sz="8" w:space="0" w:color="000000"/>
              <w:bottom w:val="single" w:sz="8" w:space="0" w:color="000000"/>
              <w:right w:val="single" w:sz="8" w:space="0" w:color="000000"/>
            </w:tcBorders>
            <w:vAlign w:val="bottom"/>
          </w:tcPr>
          <w:p w14:paraId="48706033" w14:textId="77777777" w:rsidR="003605EC" w:rsidRDefault="007A478D">
            <w:pPr>
              <w:spacing w:after="13" w:line="259" w:lineRule="auto"/>
              <w:ind w:left="68" w:firstLine="0"/>
              <w:jc w:val="left"/>
            </w:pPr>
            <w:r>
              <w:rPr>
                <w:b/>
                <w:sz w:val="18"/>
              </w:rPr>
              <w:t xml:space="preserve">Porcentaje </w:t>
            </w:r>
          </w:p>
          <w:p w14:paraId="1A2750A8" w14:textId="77777777" w:rsidR="003605EC" w:rsidRDefault="007A478D">
            <w:pPr>
              <w:spacing w:after="0" w:line="259" w:lineRule="auto"/>
              <w:ind w:left="0" w:right="45" w:firstLine="0"/>
              <w:jc w:val="center"/>
            </w:pPr>
            <w:r>
              <w:rPr>
                <w:b/>
                <w:sz w:val="18"/>
              </w:rPr>
              <w:t xml:space="preserve">(%) </w:t>
            </w:r>
          </w:p>
        </w:tc>
        <w:tc>
          <w:tcPr>
            <w:tcW w:w="960" w:type="dxa"/>
            <w:tcBorders>
              <w:top w:val="single" w:sz="8" w:space="0" w:color="000000"/>
              <w:left w:val="single" w:sz="8" w:space="0" w:color="000000"/>
              <w:bottom w:val="single" w:sz="8" w:space="0" w:color="000000"/>
              <w:right w:val="single" w:sz="8" w:space="0" w:color="000000"/>
            </w:tcBorders>
          </w:tcPr>
          <w:p w14:paraId="714E057C" w14:textId="77777777" w:rsidR="003605EC" w:rsidRDefault="007A478D">
            <w:pPr>
              <w:spacing w:after="0" w:line="274" w:lineRule="auto"/>
              <w:ind w:left="286" w:hanging="225"/>
              <w:jc w:val="left"/>
            </w:pPr>
            <w:r>
              <w:rPr>
                <w:b/>
                <w:sz w:val="18"/>
              </w:rPr>
              <w:t xml:space="preserve">Cantidad por </w:t>
            </w:r>
          </w:p>
          <w:p w14:paraId="593558B0" w14:textId="77777777" w:rsidR="003605EC" w:rsidRDefault="007A478D">
            <w:pPr>
              <w:spacing w:after="0" w:line="259" w:lineRule="auto"/>
              <w:ind w:left="0" w:firstLine="0"/>
            </w:pPr>
            <w:r>
              <w:rPr>
                <w:b/>
                <w:sz w:val="18"/>
              </w:rPr>
              <w:t xml:space="preserve">porción (g) </w:t>
            </w:r>
          </w:p>
        </w:tc>
        <w:tc>
          <w:tcPr>
            <w:tcW w:w="5140" w:type="dxa"/>
            <w:tcBorders>
              <w:top w:val="single" w:sz="8" w:space="0" w:color="000000"/>
              <w:left w:val="single" w:sz="8" w:space="0" w:color="000000"/>
              <w:bottom w:val="single" w:sz="8" w:space="0" w:color="000000"/>
              <w:right w:val="single" w:sz="8" w:space="0" w:color="000000"/>
            </w:tcBorders>
            <w:vAlign w:val="bottom"/>
          </w:tcPr>
          <w:p w14:paraId="6E982E7A" w14:textId="77777777" w:rsidR="003605EC" w:rsidRDefault="007A478D">
            <w:pPr>
              <w:spacing w:after="0" w:line="259" w:lineRule="auto"/>
              <w:ind w:left="0" w:right="40" w:firstLine="0"/>
              <w:jc w:val="center"/>
            </w:pPr>
            <w:r>
              <w:rPr>
                <w:b/>
                <w:sz w:val="18"/>
              </w:rPr>
              <w:t xml:space="preserve">Función Técnica y Nutricional </w:t>
            </w:r>
          </w:p>
        </w:tc>
      </w:tr>
      <w:tr w:rsidR="003605EC" w14:paraId="77353C9E" w14:textId="77777777">
        <w:trPr>
          <w:trHeight w:val="580"/>
        </w:trPr>
        <w:tc>
          <w:tcPr>
            <w:tcW w:w="1840" w:type="dxa"/>
            <w:tcBorders>
              <w:top w:val="single" w:sz="8" w:space="0" w:color="000000"/>
              <w:left w:val="single" w:sz="8" w:space="0" w:color="000000"/>
              <w:bottom w:val="single" w:sz="8" w:space="0" w:color="000000"/>
              <w:right w:val="single" w:sz="8" w:space="0" w:color="000000"/>
            </w:tcBorders>
          </w:tcPr>
          <w:p w14:paraId="1A725A15" w14:textId="77777777" w:rsidR="003605EC" w:rsidRDefault="007A478D">
            <w:pPr>
              <w:spacing w:after="0" w:line="259" w:lineRule="auto"/>
              <w:ind w:left="0" w:firstLine="0"/>
              <w:jc w:val="center"/>
            </w:pPr>
            <w:r>
              <w:rPr>
                <w:b/>
                <w:sz w:val="18"/>
              </w:rPr>
              <w:t xml:space="preserve">Harina de sangre bovina </w:t>
            </w:r>
          </w:p>
        </w:tc>
        <w:tc>
          <w:tcPr>
            <w:tcW w:w="1080" w:type="dxa"/>
            <w:tcBorders>
              <w:top w:val="single" w:sz="8" w:space="0" w:color="000000"/>
              <w:left w:val="single" w:sz="8" w:space="0" w:color="000000"/>
              <w:bottom w:val="single" w:sz="8" w:space="0" w:color="000000"/>
              <w:right w:val="single" w:sz="8" w:space="0" w:color="000000"/>
            </w:tcBorders>
            <w:vAlign w:val="bottom"/>
          </w:tcPr>
          <w:p w14:paraId="2FF6A34F" w14:textId="77777777" w:rsidR="003605EC" w:rsidRDefault="007A478D">
            <w:pPr>
              <w:spacing w:after="0" w:line="259" w:lineRule="auto"/>
              <w:ind w:left="0" w:right="21" w:firstLine="0"/>
              <w:jc w:val="center"/>
            </w:pPr>
            <w:r>
              <w:rPr>
                <w:b/>
                <w:sz w:val="18"/>
              </w:rPr>
              <w:t xml:space="preserve">10% </w:t>
            </w:r>
          </w:p>
        </w:tc>
        <w:tc>
          <w:tcPr>
            <w:tcW w:w="960" w:type="dxa"/>
            <w:tcBorders>
              <w:top w:val="single" w:sz="8" w:space="0" w:color="000000"/>
              <w:left w:val="single" w:sz="8" w:space="0" w:color="000000"/>
              <w:bottom w:val="single" w:sz="8" w:space="0" w:color="000000"/>
              <w:right w:val="single" w:sz="8" w:space="0" w:color="000000"/>
            </w:tcBorders>
            <w:vAlign w:val="bottom"/>
          </w:tcPr>
          <w:p w14:paraId="23E3D2B6" w14:textId="77777777" w:rsidR="003605EC" w:rsidRDefault="007A478D">
            <w:pPr>
              <w:spacing w:after="0" w:line="259" w:lineRule="auto"/>
              <w:ind w:left="0" w:right="21" w:firstLine="0"/>
              <w:jc w:val="center"/>
            </w:pPr>
            <w:r>
              <w:rPr>
                <w:b/>
                <w:sz w:val="18"/>
              </w:rPr>
              <w:t xml:space="preserve">4.0 </w:t>
            </w:r>
          </w:p>
        </w:tc>
        <w:tc>
          <w:tcPr>
            <w:tcW w:w="5140" w:type="dxa"/>
            <w:tcBorders>
              <w:top w:val="single" w:sz="8" w:space="0" w:color="000000"/>
              <w:left w:val="single" w:sz="8" w:space="0" w:color="000000"/>
              <w:bottom w:val="single" w:sz="8" w:space="0" w:color="000000"/>
              <w:right w:val="single" w:sz="8" w:space="0" w:color="000000"/>
            </w:tcBorders>
          </w:tcPr>
          <w:p w14:paraId="76174EC1" w14:textId="77777777" w:rsidR="003605EC" w:rsidRDefault="007A478D">
            <w:pPr>
              <w:spacing w:after="0" w:line="259" w:lineRule="auto"/>
              <w:ind w:left="0" w:firstLine="0"/>
              <w:jc w:val="left"/>
            </w:pPr>
            <w:r>
              <w:rPr>
                <w:b/>
                <w:sz w:val="18"/>
              </w:rPr>
              <w:t xml:space="preserve">Aporte de hierro </w:t>
            </w:r>
            <w:proofErr w:type="spellStart"/>
            <w:r>
              <w:rPr>
                <w:b/>
                <w:sz w:val="18"/>
              </w:rPr>
              <w:t>hemínico</w:t>
            </w:r>
            <w:proofErr w:type="spellEnd"/>
            <w:r>
              <w:rPr>
                <w:b/>
                <w:sz w:val="18"/>
              </w:rPr>
              <w:t xml:space="preserve"> de alta absorción (aprox. 12,6 mg) y aumento drástico de la densidad proteica. </w:t>
            </w:r>
          </w:p>
        </w:tc>
      </w:tr>
      <w:tr w:rsidR="003605EC" w14:paraId="05FD20AE" w14:textId="77777777">
        <w:trPr>
          <w:trHeight w:val="580"/>
        </w:trPr>
        <w:tc>
          <w:tcPr>
            <w:tcW w:w="1840" w:type="dxa"/>
            <w:tcBorders>
              <w:top w:val="single" w:sz="8" w:space="0" w:color="000000"/>
              <w:left w:val="single" w:sz="8" w:space="0" w:color="000000"/>
              <w:bottom w:val="single" w:sz="8" w:space="0" w:color="000000"/>
              <w:right w:val="single" w:sz="8" w:space="0" w:color="000000"/>
            </w:tcBorders>
          </w:tcPr>
          <w:p w14:paraId="50637900" w14:textId="77777777" w:rsidR="003605EC" w:rsidRDefault="007A478D">
            <w:pPr>
              <w:spacing w:after="0" w:line="259" w:lineRule="auto"/>
              <w:ind w:left="0" w:firstLine="0"/>
              <w:jc w:val="center"/>
            </w:pPr>
            <w:r>
              <w:rPr>
                <w:b/>
                <w:sz w:val="18"/>
              </w:rPr>
              <w:t>Mezcla de cereales (</w:t>
            </w:r>
            <w:proofErr w:type="spellStart"/>
            <w:r>
              <w:rPr>
                <w:b/>
                <w:sz w:val="18"/>
              </w:rPr>
              <w:t>semola</w:t>
            </w:r>
            <w:proofErr w:type="spellEnd"/>
            <w:r>
              <w:rPr>
                <w:b/>
                <w:sz w:val="18"/>
              </w:rPr>
              <w:t xml:space="preserve">, maíz y arroz) </w:t>
            </w:r>
          </w:p>
        </w:tc>
        <w:tc>
          <w:tcPr>
            <w:tcW w:w="1080" w:type="dxa"/>
            <w:tcBorders>
              <w:top w:val="single" w:sz="8" w:space="0" w:color="000000"/>
              <w:left w:val="single" w:sz="8" w:space="0" w:color="000000"/>
              <w:bottom w:val="single" w:sz="8" w:space="0" w:color="000000"/>
              <w:right w:val="single" w:sz="8" w:space="0" w:color="000000"/>
            </w:tcBorders>
            <w:vAlign w:val="bottom"/>
          </w:tcPr>
          <w:p w14:paraId="1325DBBB" w14:textId="77777777" w:rsidR="003605EC" w:rsidRDefault="007A478D">
            <w:pPr>
              <w:spacing w:after="0" w:line="259" w:lineRule="auto"/>
              <w:ind w:left="0" w:right="21" w:firstLine="0"/>
              <w:jc w:val="center"/>
            </w:pPr>
            <w:r>
              <w:rPr>
                <w:b/>
                <w:sz w:val="18"/>
              </w:rPr>
              <w:t xml:space="preserve">75% </w:t>
            </w:r>
          </w:p>
        </w:tc>
        <w:tc>
          <w:tcPr>
            <w:tcW w:w="960" w:type="dxa"/>
            <w:tcBorders>
              <w:top w:val="single" w:sz="8" w:space="0" w:color="000000"/>
              <w:left w:val="single" w:sz="8" w:space="0" w:color="000000"/>
              <w:bottom w:val="single" w:sz="8" w:space="0" w:color="000000"/>
              <w:right w:val="single" w:sz="8" w:space="0" w:color="000000"/>
            </w:tcBorders>
            <w:vAlign w:val="bottom"/>
          </w:tcPr>
          <w:p w14:paraId="2E6B4989" w14:textId="77777777" w:rsidR="003605EC" w:rsidRDefault="007A478D">
            <w:pPr>
              <w:spacing w:after="0" w:line="259" w:lineRule="auto"/>
              <w:ind w:left="0" w:right="21" w:firstLine="0"/>
              <w:jc w:val="center"/>
            </w:pPr>
            <w:r>
              <w:rPr>
                <w:b/>
                <w:sz w:val="18"/>
              </w:rPr>
              <w:t xml:space="preserve">30.0 </w:t>
            </w:r>
          </w:p>
        </w:tc>
        <w:tc>
          <w:tcPr>
            <w:tcW w:w="5140" w:type="dxa"/>
            <w:tcBorders>
              <w:top w:val="single" w:sz="8" w:space="0" w:color="000000"/>
              <w:left w:val="single" w:sz="8" w:space="0" w:color="000000"/>
              <w:bottom w:val="single" w:sz="8" w:space="0" w:color="000000"/>
              <w:right w:val="single" w:sz="8" w:space="0" w:color="000000"/>
            </w:tcBorders>
          </w:tcPr>
          <w:p w14:paraId="64F0D3E0" w14:textId="77777777" w:rsidR="003605EC" w:rsidRDefault="007A478D">
            <w:pPr>
              <w:spacing w:after="0" w:line="259" w:lineRule="auto"/>
              <w:ind w:left="0" w:firstLine="0"/>
              <w:jc w:val="left"/>
            </w:pPr>
            <w:r>
              <w:rPr>
                <w:b/>
                <w:sz w:val="18"/>
              </w:rPr>
              <w:t xml:space="preserve">Matriz estructural </w:t>
            </w:r>
            <w:proofErr w:type="spellStart"/>
            <w:r>
              <w:rPr>
                <w:b/>
                <w:sz w:val="18"/>
              </w:rPr>
              <w:t>extruible</w:t>
            </w:r>
            <w:proofErr w:type="spellEnd"/>
            <w:r>
              <w:rPr>
                <w:b/>
                <w:sz w:val="18"/>
              </w:rPr>
              <w:t xml:space="preserve">, aporte de energía y complemento biológico para equilibrar los aminoácidos. </w:t>
            </w:r>
          </w:p>
        </w:tc>
      </w:tr>
      <w:tr w:rsidR="003605EC" w14:paraId="2F80A6DE" w14:textId="77777777">
        <w:trPr>
          <w:trHeight w:val="580"/>
        </w:trPr>
        <w:tc>
          <w:tcPr>
            <w:tcW w:w="1840" w:type="dxa"/>
            <w:tcBorders>
              <w:top w:val="single" w:sz="8" w:space="0" w:color="000000"/>
              <w:left w:val="single" w:sz="8" w:space="0" w:color="000000"/>
              <w:bottom w:val="single" w:sz="8" w:space="0" w:color="000000"/>
              <w:right w:val="single" w:sz="8" w:space="0" w:color="000000"/>
            </w:tcBorders>
            <w:vAlign w:val="bottom"/>
          </w:tcPr>
          <w:p w14:paraId="5ADB60B1" w14:textId="77777777" w:rsidR="003605EC" w:rsidRDefault="007A478D">
            <w:pPr>
              <w:spacing w:after="0" w:line="259" w:lineRule="auto"/>
              <w:ind w:left="0" w:right="26" w:firstLine="0"/>
              <w:jc w:val="center"/>
            </w:pPr>
            <w:r>
              <w:rPr>
                <w:b/>
                <w:sz w:val="18"/>
              </w:rPr>
              <w:t xml:space="preserve">Agentes de sabor </w:t>
            </w:r>
          </w:p>
        </w:tc>
        <w:tc>
          <w:tcPr>
            <w:tcW w:w="1080" w:type="dxa"/>
            <w:tcBorders>
              <w:top w:val="single" w:sz="8" w:space="0" w:color="000000"/>
              <w:left w:val="single" w:sz="8" w:space="0" w:color="000000"/>
              <w:bottom w:val="single" w:sz="8" w:space="0" w:color="000000"/>
              <w:right w:val="single" w:sz="8" w:space="0" w:color="000000"/>
            </w:tcBorders>
            <w:vAlign w:val="bottom"/>
          </w:tcPr>
          <w:p w14:paraId="2D1949F5" w14:textId="77777777" w:rsidR="003605EC" w:rsidRDefault="007A478D">
            <w:pPr>
              <w:spacing w:after="0" w:line="259" w:lineRule="auto"/>
              <w:ind w:left="0" w:right="21" w:firstLine="0"/>
              <w:jc w:val="center"/>
            </w:pPr>
            <w:r>
              <w:rPr>
                <w:b/>
                <w:sz w:val="18"/>
              </w:rPr>
              <w:t xml:space="preserve">15% </w:t>
            </w:r>
          </w:p>
        </w:tc>
        <w:tc>
          <w:tcPr>
            <w:tcW w:w="960" w:type="dxa"/>
            <w:tcBorders>
              <w:top w:val="single" w:sz="8" w:space="0" w:color="000000"/>
              <w:left w:val="single" w:sz="8" w:space="0" w:color="000000"/>
              <w:bottom w:val="single" w:sz="8" w:space="0" w:color="000000"/>
              <w:right w:val="single" w:sz="8" w:space="0" w:color="000000"/>
            </w:tcBorders>
            <w:vAlign w:val="bottom"/>
          </w:tcPr>
          <w:p w14:paraId="3E3705CF" w14:textId="77777777" w:rsidR="003605EC" w:rsidRDefault="007A478D">
            <w:pPr>
              <w:spacing w:after="0" w:line="259" w:lineRule="auto"/>
              <w:ind w:left="0" w:right="21" w:firstLine="0"/>
              <w:jc w:val="center"/>
            </w:pPr>
            <w:r>
              <w:rPr>
                <w:b/>
                <w:sz w:val="18"/>
              </w:rPr>
              <w:t xml:space="preserve">6.0 </w:t>
            </w:r>
          </w:p>
        </w:tc>
        <w:tc>
          <w:tcPr>
            <w:tcW w:w="5140" w:type="dxa"/>
            <w:tcBorders>
              <w:top w:val="single" w:sz="8" w:space="0" w:color="000000"/>
              <w:left w:val="single" w:sz="8" w:space="0" w:color="000000"/>
              <w:bottom w:val="single" w:sz="8" w:space="0" w:color="000000"/>
              <w:right w:val="single" w:sz="8" w:space="0" w:color="000000"/>
            </w:tcBorders>
          </w:tcPr>
          <w:p w14:paraId="5FE6ACD1" w14:textId="77777777" w:rsidR="003605EC" w:rsidRDefault="007A478D">
            <w:pPr>
              <w:spacing w:after="0" w:line="259" w:lineRule="auto"/>
              <w:ind w:left="0" w:firstLine="0"/>
              <w:jc w:val="left"/>
            </w:pPr>
            <w:r>
              <w:rPr>
                <w:b/>
                <w:sz w:val="18"/>
              </w:rPr>
              <w:t xml:space="preserve">Enmascaramiento sensorial para bloquear el sabor metálico y la astringencia en el paladar. </w:t>
            </w:r>
          </w:p>
        </w:tc>
      </w:tr>
      <w:tr w:rsidR="003605EC" w14:paraId="27615C58" w14:textId="77777777">
        <w:trPr>
          <w:trHeight w:val="580"/>
        </w:trPr>
        <w:tc>
          <w:tcPr>
            <w:tcW w:w="1840" w:type="dxa"/>
            <w:tcBorders>
              <w:top w:val="single" w:sz="8" w:space="0" w:color="000000"/>
              <w:left w:val="single" w:sz="8" w:space="0" w:color="000000"/>
              <w:bottom w:val="single" w:sz="8" w:space="0" w:color="000000"/>
              <w:right w:val="single" w:sz="8" w:space="0" w:color="000000"/>
            </w:tcBorders>
            <w:vAlign w:val="bottom"/>
          </w:tcPr>
          <w:p w14:paraId="758E5D6D" w14:textId="77777777" w:rsidR="003605EC" w:rsidRDefault="007A478D">
            <w:pPr>
              <w:spacing w:after="0" w:line="259" w:lineRule="auto"/>
              <w:ind w:left="0" w:right="26" w:firstLine="0"/>
              <w:jc w:val="center"/>
            </w:pPr>
            <w:r>
              <w:rPr>
                <w:b/>
                <w:sz w:val="18"/>
              </w:rPr>
              <w:t xml:space="preserve">Total </w:t>
            </w:r>
          </w:p>
        </w:tc>
        <w:tc>
          <w:tcPr>
            <w:tcW w:w="1080" w:type="dxa"/>
            <w:tcBorders>
              <w:top w:val="single" w:sz="8" w:space="0" w:color="000000"/>
              <w:left w:val="single" w:sz="8" w:space="0" w:color="000000"/>
              <w:bottom w:val="single" w:sz="8" w:space="0" w:color="000000"/>
              <w:right w:val="single" w:sz="8" w:space="0" w:color="000000"/>
            </w:tcBorders>
            <w:vAlign w:val="bottom"/>
          </w:tcPr>
          <w:p w14:paraId="71A30313" w14:textId="77777777" w:rsidR="003605EC" w:rsidRDefault="007A478D">
            <w:pPr>
              <w:spacing w:after="0" w:line="259" w:lineRule="auto"/>
              <w:ind w:left="0" w:right="21" w:firstLine="0"/>
              <w:jc w:val="center"/>
            </w:pPr>
            <w:r>
              <w:rPr>
                <w:b/>
                <w:sz w:val="18"/>
              </w:rPr>
              <w:t xml:space="preserve">100% </w:t>
            </w:r>
          </w:p>
        </w:tc>
        <w:tc>
          <w:tcPr>
            <w:tcW w:w="960" w:type="dxa"/>
            <w:tcBorders>
              <w:top w:val="single" w:sz="8" w:space="0" w:color="000000"/>
              <w:left w:val="single" w:sz="8" w:space="0" w:color="000000"/>
              <w:bottom w:val="single" w:sz="8" w:space="0" w:color="000000"/>
              <w:right w:val="single" w:sz="8" w:space="0" w:color="000000"/>
            </w:tcBorders>
            <w:vAlign w:val="bottom"/>
          </w:tcPr>
          <w:p w14:paraId="15B9E013" w14:textId="77777777" w:rsidR="003605EC" w:rsidRDefault="007A478D">
            <w:pPr>
              <w:spacing w:after="0" w:line="259" w:lineRule="auto"/>
              <w:ind w:left="0" w:right="21" w:firstLine="0"/>
              <w:jc w:val="center"/>
            </w:pPr>
            <w:r>
              <w:rPr>
                <w:b/>
                <w:sz w:val="18"/>
              </w:rPr>
              <w:t xml:space="preserve">40.0 </w:t>
            </w:r>
          </w:p>
        </w:tc>
        <w:tc>
          <w:tcPr>
            <w:tcW w:w="5140" w:type="dxa"/>
            <w:tcBorders>
              <w:top w:val="single" w:sz="8" w:space="0" w:color="000000"/>
              <w:left w:val="single" w:sz="8" w:space="0" w:color="000000"/>
              <w:bottom w:val="single" w:sz="8" w:space="0" w:color="000000"/>
              <w:right w:val="single" w:sz="8" w:space="0" w:color="000000"/>
            </w:tcBorders>
          </w:tcPr>
          <w:p w14:paraId="16D5E93C" w14:textId="77777777" w:rsidR="003605EC" w:rsidRDefault="007A478D">
            <w:pPr>
              <w:spacing w:after="0" w:line="259" w:lineRule="auto"/>
              <w:ind w:left="0" w:firstLine="0"/>
              <w:jc w:val="left"/>
            </w:pPr>
            <w:r>
              <w:rPr>
                <w:b/>
                <w:sz w:val="18"/>
              </w:rPr>
              <w:t xml:space="preserve">Porción diaria exacta requerida para erradicar la deficiencia en un niño en edad preescolar. </w:t>
            </w:r>
          </w:p>
        </w:tc>
      </w:tr>
    </w:tbl>
    <w:p w14:paraId="3E7478FB" w14:textId="14446AA3" w:rsidR="003605EC" w:rsidRDefault="007A478D" w:rsidP="00B13B4D">
      <w:pPr>
        <w:spacing w:after="16" w:line="259" w:lineRule="auto"/>
        <w:ind w:left="0" w:firstLine="0"/>
        <w:jc w:val="left"/>
        <w:rPr>
          <w:b/>
        </w:rPr>
      </w:pPr>
      <w:r>
        <w:rPr>
          <w:b/>
        </w:rPr>
        <w:t xml:space="preserve"> </w:t>
      </w:r>
    </w:p>
    <w:p w14:paraId="1FBBB2A7" w14:textId="77777777" w:rsidR="00B13B4D" w:rsidRDefault="00B13B4D" w:rsidP="00B13B4D">
      <w:pPr>
        <w:spacing w:after="16" w:line="259" w:lineRule="auto"/>
        <w:ind w:left="0" w:firstLine="0"/>
        <w:jc w:val="left"/>
      </w:pPr>
    </w:p>
    <w:p w14:paraId="1551FB65" w14:textId="0B9C4C0B" w:rsidR="003605EC" w:rsidRDefault="007A478D">
      <w:pPr>
        <w:ind w:left="-5"/>
      </w:pPr>
      <w:r>
        <w:rPr>
          <w:b/>
        </w:rPr>
        <w:t>Proceso de Extrusión y Seguridad:</w:t>
      </w:r>
      <w:r>
        <w:t xml:space="preserve">  El snack se procesa en un extrusor de tornillo sinfín a </w:t>
      </w:r>
      <w:r>
        <w:rPr>
          <w:b/>
        </w:rPr>
        <w:t>254.5 rpm</w:t>
      </w:r>
      <w:r>
        <w:t xml:space="preserve"> y temperaturas de </w:t>
      </w:r>
      <w:r>
        <w:rPr>
          <w:b/>
        </w:rPr>
        <w:t>158°C a 162°</w:t>
      </w:r>
      <w:proofErr w:type="gramStart"/>
      <w:r>
        <w:rPr>
          <w:b/>
        </w:rPr>
        <w:t>C</w:t>
      </w:r>
      <w:r>
        <w:t xml:space="preserve"> ,</w:t>
      </w:r>
      <w:proofErr w:type="gramEnd"/>
      <w:r>
        <w:t xml:space="preserve"> con una  </w:t>
      </w:r>
      <w:r>
        <w:rPr>
          <w:b/>
        </w:rPr>
        <w:t>humedad crítica del 11%</w:t>
      </w:r>
      <w:r>
        <w:t xml:space="preserve"> . Este calor extremo provoca el estallido del almidón (expansión) y garantiza la ausencia de patógenos </w:t>
      </w:r>
      <w:proofErr w:type="gramStart"/>
      <w:r>
        <w:t xml:space="preserve">como  </w:t>
      </w:r>
      <w:r>
        <w:rPr>
          <w:i/>
        </w:rPr>
        <w:t>Salmonella</w:t>
      </w:r>
      <w:proofErr w:type="gramEnd"/>
      <w:r>
        <w:t xml:space="preserve">. El resultado es un producto </w:t>
      </w:r>
      <w:proofErr w:type="gramStart"/>
      <w:r>
        <w:t xml:space="preserve">con  </w:t>
      </w:r>
      <w:r>
        <w:rPr>
          <w:b/>
        </w:rPr>
        <w:t>2</w:t>
      </w:r>
      <w:proofErr w:type="gramEnd"/>
      <w:r>
        <w:rPr>
          <w:b/>
        </w:rPr>
        <w:t>.47g de proteína</w:t>
      </w:r>
      <w:r>
        <w:t xml:space="preserve">  y  </w:t>
      </w:r>
      <w:r>
        <w:rPr>
          <w:b/>
        </w:rPr>
        <w:t>31.87mg de hierro</w:t>
      </w:r>
      <w:r>
        <w:t xml:space="preserve">  por cada 100g. </w:t>
      </w:r>
    </w:p>
    <w:p w14:paraId="05260CBD" w14:textId="77777777" w:rsidR="003605EC" w:rsidRDefault="007A478D">
      <w:pPr>
        <w:spacing w:after="294"/>
        <w:ind w:left="-5"/>
      </w:pPr>
      <w:r>
        <w:t xml:space="preserve"> Mientras la dosis tóxica de hierro se sitúa entre 30-60 mg/kg de peso, una porción de 40g aporta 12.7 mg, cubriendo de forma segura el 100% del requerimiento diario de un niño (4-6 años). </w:t>
      </w:r>
    </w:p>
    <w:p w14:paraId="1FC3673C" w14:textId="77777777" w:rsidR="003605EC" w:rsidRDefault="007A478D">
      <w:pPr>
        <w:pStyle w:val="Ttulo1"/>
        <w:ind w:left="-5"/>
      </w:pPr>
      <w:r>
        <w:t>8. Desafíos Sensoriales y Tecnologías de Mitigación</w:t>
      </w:r>
      <w:r>
        <w:rPr>
          <w:rFonts w:ascii="Arial" w:eastAsia="Arial" w:hAnsi="Arial" w:cs="Arial"/>
          <w:color w:val="666666"/>
          <w:u w:val="none"/>
        </w:rPr>
        <w:t xml:space="preserve"> </w:t>
      </w:r>
    </w:p>
    <w:p w14:paraId="265C2198" w14:textId="77777777" w:rsidR="003605EC" w:rsidRDefault="007A478D">
      <w:pPr>
        <w:spacing w:after="43"/>
        <w:ind w:left="-5"/>
      </w:pPr>
      <w:r>
        <w:t xml:space="preserve">El rechazo al sabor metálico y la astringencia (causada por la interacción con proteínas salivales) ocurre cuando el hierro activa </w:t>
      </w:r>
      <w:proofErr w:type="gramStart"/>
      <w:r>
        <w:t xml:space="preserve">los  </w:t>
      </w:r>
      <w:r>
        <w:rPr>
          <w:b/>
        </w:rPr>
        <w:t>receptores</w:t>
      </w:r>
      <w:proofErr w:type="gramEnd"/>
      <w:r>
        <w:rPr>
          <w:b/>
        </w:rPr>
        <w:t xml:space="preserve"> de sabor amargo TAS2Rs</w:t>
      </w:r>
      <w:r>
        <w:t xml:space="preserve"> . Para mitigar esto, se aplican tres estrategias de vanguardia: </w:t>
      </w:r>
    </w:p>
    <w:p w14:paraId="378191EC" w14:textId="77777777" w:rsidR="003605EC" w:rsidRDefault="007A478D">
      <w:pPr>
        <w:numPr>
          <w:ilvl w:val="0"/>
          <w:numId w:val="5"/>
        </w:numPr>
        <w:spacing w:after="44"/>
        <w:ind w:hanging="360"/>
      </w:pPr>
      <w:r>
        <w:rPr>
          <w:b/>
        </w:rPr>
        <w:t>Bloqueo Retronasal:</w:t>
      </w:r>
      <w:r>
        <w:t xml:space="preserve"> Aromas y sabores que "engañan" al sistema nervioso central para anular la percepción del amargor. </w:t>
      </w:r>
    </w:p>
    <w:p w14:paraId="00C7CC13" w14:textId="77777777" w:rsidR="003605EC" w:rsidRDefault="007A478D">
      <w:pPr>
        <w:numPr>
          <w:ilvl w:val="0"/>
          <w:numId w:val="5"/>
        </w:numPr>
        <w:spacing w:after="294"/>
        <w:ind w:hanging="360"/>
      </w:pPr>
      <w:r>
        <w:rPr>
          <w:b/>
        </w:rPr>
        <w:t>Tratamiento Térmico con Aceites Esenciales:</w:t>
      </w:r>
      <w:r>
        <w:t xml:space="preserve">  Cocción de la harina con sacarosa, canela y clavo de olor (85°C - 95°C por 25 min) para alterar químicamente el perfil del sabor. </w:t>
      </w:r>
    </w:p>
    <w:p w14:paraId="41770D34" w14:textId="7D2EE90B" w:rsidR="00BC67E6" w:rsidRDefault="00BC67E6">
      <w:pPr>
        <w:numPr>
          <w:ilvl w:val="0"/>
          <w:numId w:val="5"/>
        </w:numPr>
        <w:spacing w:after="294"/>
        <w:ind w:hanging="360"/>
      </w:pPr>
      <w:r w:rsidRPr="00BC67E6">
        <w:rPr>
          <w:b/>
          <w:bCs/>
        </w:rPr>
        <w:t>Microencapsulación física</w:t>
      </w:r>
      <w:r>
        <w:t>: C</w:t>
      </w:r>
      <w:r w:rsidRPr="00BC67E6">
        <w:t>onsiste en envolver las partículas de hierro dentro de una matriz tridimensional, como liposomas o polímeros, para evitar que entren en contacto directo con las papilas gustativas al masticar. Esta barrera protectora enmascara eficazmente el sabor metálico y está diseñada para disolverse de forma controlada recién al llegar al ambiente ácido del estómago o al intestino</w:t>
      </w:r>
      <w:r>
        <w:t>.</w:t>
      </w:r>
    </w:p>
    <w:p w14:paraId="0BECB75E" w14:textId="77777777" w:rsidR="003605EC" w:rsidRDefault="007A478D">
      <w:pPr>
        <w:pStyle w:val="Ttulo1"/>
        <w:ind w:left="-5"/>
      </w:pPr>
      <w:r>
        <w:t>9. Rentabilidad y Proyección Económica</w:t>
      </w:r>
      <w:r>
        <w:rPr>
          <w:rFonts w:ascii="Arial" w:eastAsia="Arial" w:hAnsi="Arial" w:cs="Arial"/>
          <w:color w:val="666666"/>
          <w:u w:val="none"/>
        </w:rPr>
        <w:t xml:space="preserve"> </w:t>
      </w:r>
    </w:p>
    <w:p w14:paraId="1343490D" w14:textId="77777777" w:rsidR="003605EC" w:rsidRDefault="007A478D">
      <w:pPr>
        <w:ind w:left="-5"/>
      </w:pPr>
      <w:r>
        <w:t xml:space="preserve">La viabilidad de </w:t>
      </w:r>
      <w:proofErr w:type="spellStart"/>
      <w:r>
        <w:t>CrocanFe</w:t>
      </w:r>
      <w:proofErr w:type="spellEnd"/>
      <w:r>
        <w:t xml:space="preserve"> es excepcional gracias a la revalorización de un recurso de costo casi nulo. </w:t>
      </w:r>
    </w:p>
    <w:p w14:paraId="175623AC" w14:textId="77777777" w:rsidR="003605EC" w:rsidRDefault="007A478D">
      <w:pPr>
        <w:ind w:left="-5"/>
      </w:pPr>
      <w:r>
        <w:lastRenderedPageBreak/>
        <w:t xml:space="preserve">Al utilizar sangre cruda y sémola de maíz económica, se logra: </w:t>
      </w:r>
    </w:p>
    <w:p w14:paraId="5EA33232" w14:textId="77777777" w:rsidR="003605EC" w:rsidRDefault="007A478D">
      <w:pPr>
        <w:numPr>
          <w:ilvl w:val="0"/>
          <w:numId w:val="6"/>
        </w:numPr>
        <w:spacing w:after="16" w:line="259" w:lineRule="auto"/>
        <w:ind w:hanging="360"/>
        <w:jc w:val="left"/>
      </w:pPr>
      <w:r>
        <w:rPr>
          <w:b/>
        </w:rPr>
        <w:t>Retorno sobre la Inversión (ROI):</w:t>
      </w:r>
      <w:r>
        <w:t xml:space="preserve">  40%. </w:t>
      </w:r>
    </w:p>
    <w:p w14:paraId="35C98CE8" w14:textId="77777777" w:rsidR="003605EC" w:rsidRDefault="007A478D">
      <w:pPr>
        <w:numPr>
          <w:ilvl w:val="0"/>
          <w:numId w:val="6"/>
        </w:numPr>
        <w:spacing w:after="16" w:line="259" w:lineRule="auto"/>
        <w:ind w:hanging="360"/>
        <w:jc w:val="left"/>
      </w:pPr>
      <w:r>
        <w:rPr>
          <w:b/>
        </w:rPr>
        <w:t>Plazo de Recuperación:</w:t>
      </w:r>
      <w:r>
        <w:t xml:space="preserve">  2 años </w:t>
      </w:r>
    </w:p>
    <w:p w14:paraId="102F6F42" w14:textId="77777777" w:rsidR="003605EC" w:rsidRDefault="007A478D">
      <w:pPr>
        <w:ind w:left="-5"/>
      </w:pPr>
      <w:r>
        <w:t xml:space="preserve"> Esta estructura de costos bajos permite que un producto de alta tecnología llegue a las poblaciones más vulnerables a precios </w:t>
      </w:r>
      <w:proofErr w:type="spellStart"/>
      <w:r>
        <w:t>ultra-accesibles</w:t>
      </w:r>
      <w:proofErr w:type="spellEnd"/>
      <w:r>
        <w:t xml:space="preserve">, donde la anemia es una emergencia de salud pública. </w:t>
      </w:r>
    </w:p>
    <w:p w14:paraId="06CBFBB1" w14:textId="77777777" w:rsidR="003605EC" w:rsidRDefault="007A478D">
      <w:pPr>
        <w:spacing w:after="15" w:line="259" w:lineRule="auto"/>
        <w:ind w:left="0" w:firstLine="0"/>
        <w:jc w:val="left"/>
      </w:pPr>
      <w:r>
        <w:rPr>
          <w:rFonts w:ascii="Arial" w:eastAsia="Arial" w:hAnsi="Arial" w:cs="Arial"/>
          <w:sz w:val="20"/>
        </w:rPr>
        <w:t xml:space="preserve"> </w:t>
      </w:r>
    </w:p>
    <w:p w14:paraId="5A835811" w14:textId="77777777" w:rsidR="003605EC" w:rsidRDefault="007A478D">
      <w:pPr>
        <w:pStyle w:val="Ttulo2"/>
      </w:pPr>
      <w:r>
        <w:t>10. Conclusión</w:t>
      </w:r>
      <w:r>
        <w:rPr>
          <w:u w:val="none"/>
        </w:rPr>
        <w:t xml:space="preserve"> </w:t>
      </w:r>
    </w:p>
    <w:p w14:paraId="7BD668CD" w14:textId="5EE9118E" w:rsidR="003605EC" w:rsidRDefault="007A478D">
      <w:pPr>
        <w:ind w:left="-5"/>
      </w:pPr>
      <w:r>
        <w:t>La presente investigación demuestra que la valorización estratégica de la sangre bovina mediante secado por atomización (</w:t>
      </w:r>
      <w:r>
        <w:rPr>
          <w:i/>
        </w:rPr>
        <w:t>spray-</w:t>
      </w:r>
      <w:proofErr w:type="spellStart"/>
      <w:r>
        <w:rPr>
          <w:i/>
        </w:rPr>
        <w:t>drying</w:t>
      </w:r>
      <w:proofErr w:type="spellEnd"/>
      <w:r>
        <w:t xml:space="preserve">) transforma un pasivo ambiental en un recurso de alto valor bajo el modelo de economía circular. Esta tecnología preserva la integridad molecular de las proteínas, evita el daño térmico y garantiza la inocuidad del producto, obteniendo un ingrediente funcional con una densidad proteica del 70% al 90% y alta biodisponibilidad de hierro </w:t>
      </w:r>
      <w:proofErr w:type="spellStart"/>
      <w:r>
        <w:t>hemínico</w:t>
      </w:r>
      <w:proofErr w:type="spellEnd"/>
      <w:r>
        <w:t>. Desafíos sensoriales como el sabor metálico fueron superados mediante microencapsulación y tratamientos con aceites esenciales, asegurando su aceptabilidad y el cumplimiento de normativas internacionales (FDA/EFSA). Finalmente, la viabilidad de esta innovación se materializó en el snack "</w:t>
      </w:r>
      <w:proofErr w:type="spellStart"/>
      <w:r>
        <w:t>CrocanFe</w:t>
      </w:r>
      <w:proofErr w:type="spellEnd"/>
      <w:r>
        <w:t>" (10% harina de sangre), el cual aporta 12,7 mg de hierro de fácil absorción. Con un ROI cercano al 40%, el proyecto se consolida como una inversión altamente rentable y una solución biotecnológica definitiva contra la anemia ferropénica.</w:t>
      </w:r>
      <w:bookmarkStart w:id="0" w:name="_GoBack"/>
      <w:bookmarkEnd w:id="0"/>
    </w:p>
    <w:sectPr w:rsidR="003605EC">
      <w:headerReference w:type="even" r:id="rId7"/>
      <w:headerReference w:type="default" r:id="rId8"/>
      <w:footerReference w:type="even" r:id="rId9"/>
      <w:footerReference w:type="default" r:id="rId10"/>
      <w:headerReference w:type="first" r:id="rId11"/>
      <w:footerReference w:type="first" r:id="rId12"/>
      <w:pgSz w:w="11920" w:h="16840"/>
      <w:pgMar w:top="1670" w:right="1455" w:bottom="1726" w:left="1440" w:header="750" w:footer="7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B0C28" w14:textId="77777777" w:rsidR="007A478D" w:rsidRDefault="007A478D">
      <w:pPr>
        <w:spacing w:after="0" w:line="240" w:lineRule="auto"/>
      </w:pPr>
      <w:r>
        <w:separator/>
      </w:r>
    </w:p>
  </w:endnote>
  <w:endnote w:type="continuationSeparator" w:id="0">
    <w:p w14:paraId="0806A46C" w14:textId="77777777" w:rsidR="007A478D" w:rsidRDefault="007A4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5778B" w14:textId="77777777" w:rsidR="003605EC" w:rsidRDefault="007A478D">
    <w:pPr>
      <w:spacing w:after="0" w:line="259" w:lineRule="auto"/>
      <w:ind w:left="0" w:firstLine="0"/>
    </w:pPr>
    <w:r>
      <w:rPr>
        <w:b/>
        <w:sz w:val="24"/>
      </w:rPr>
      <w:t xml:space="preserve">Flesler Valerio Weber                                                                                                               </w:t>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D78F3" w14:textId="77777777" w:rsidR="003605EC" w:rsidRDefault="007A478D">
    <w:pPr>
      <w:spacing w:after="0" w:line="259" w:lineRule="auto"/>
      <w:ind w:left="0" w:firstLine="0"/>
    </w:pPr>
    <w:r>
      <w:rPr>
        <w:b/>
        <w:sz w:val="24"/>
      </w:rPr>
      <w:t xml:space="preserve">Flesler Valerio Weber                                                                                                               </w:t>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5DD78" w14:textId="77777777" w:rsidR="003605EC" w:rsidRDefault="007A478D">
    <w:pPr>
      <w:spacing w:after="0" w:line="259" w:lineRule="auto"/>
      <w:ind w:left="0" w:firstLine="0"/>
    </w:pPr>
    <w:r>
      <w:rPr>
        <w:b/>
        <w:sz w:val="24"/>
      </w:rPr>
      <w:t xml:space="preserve">Flesler Valerio Weber                                                                                                               </w:t>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19160" w14:textId="77777777" w:rsidR="007A478D" w:rsidRDefault="007A478D">
      <w:pPr>
        <w:spacing w:after="0" w:line="240" w:lineRule="auto"/>
      </w:pPr>
      <w:r>
        <w:separator/>
      </w:r>
    </w:p>
  </w:footnote>
  <w:footnote w:type="continuationSeparator" w:id="0">
    <w:p w14:paraId="26EA4580" w14:textId="77777777" w:rsidR="007A478D" w:rsidRDefault="007A4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92FE1" w14:textId="77777777" w:rsidR="003605EC" w:rsidRDefault="007A478D">
    <w:pPr>
      <w:spacing w:after="0" w:line="259" w:lineRule="auto"/>
      <w:ind w:left="0" w:right="276" w:firstLine="0"/>
      <w:jc w:val="right"/>
    </w:pPr>
    <w:r>
      <w:rPr>
        <w:noProof/>
      </w:rPr>
      <w:drawing>
        <wp:anchor distT="0" distB="0" distL="114300" distR="114300" simplePos="0" relativeHeight="251658240" behindDoc="0" locked="0" layoutInCell="1" allowOverlap="0" wp14:anchorId="56E59CE6" wp14:editId="41C108A2">
          <wp:simplePos x="0" y="0"/>
          <wp:positionH relativeFrom="page">
            <wp:posOffset>933450</wp:posOffset>
          </wp:positionH>
          <wp:positionV relativeFrom="page">
            <wp:posOffset>476250</wp:posOffset>
          </wp:positionV>
          <wp:extent cx="2085975" cy="523875"/>
          <wp:effectExtent l="0" t="0" r="0" b="0"/>
          <wp:wrapSquare wrapText="bothSides"/>
          <wp:docPr id="937" name="Picture 937"/>
          <wp:cNvGraphicFramePr/>
          <a:graphic xmlns:a="http://schemas.openxmlformats.org/drawingml/2006/main">
            <a:graphicData uri="http://schemas.openxmlformats.org/drawingml/2006/picture">
              <pic:pic xmlns:pic="http://schemas.openxmlformats.org/drawingml/2006/picture">
                <pic:nvPicPr>
                  <pic:cNvPr id="937" name="Picture 937"/>
                  <pic:cNvPicPr/>
                </pic:nvPicPr>
                <pic:blipFill>
                  <a:blip r:embed="rId1"/>
                  <a:stretch>
                    <a:fillRect/>
                  </a:stretch>
                </pic:blipFill>
                <pic:spPr>
                  <a:xfrm>
                    <a:off x="0" y="0"/>
                    <a:ext cx="2085975" cy="523875"/>
                  </a:xfrm>
                  <a:prstGeom prst="rect">
                    <a:avLst/>
                  </a:prstGeom>
                </pic:spPr>
              </pic:pic>
            </a:graphicData>
          </a:graphic>
        </wp:anchor>
      </w:drawing>
    </w:r>
    <w:r>
      <w:rPr>
        <w:i/>
        <w:sz w:val="24"/>
      </w:rPr>
      <w:t xml:space="preserve">                                                    Procesos industriales II  </w:t>
    </w: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D7BA4" w14:textId="22FDA87A" w:rsidR="003605EC" w:rsidRDefault="007A478D">
    <w:pPr>
      <w:spacing w:after="0" w:line="259" w:lineRule="auto"/>
      <w:ind w:left="0" w:right="276" w:firstLine="0"/>
      <w:jc w:val="right"/>
    </w:pPr>
    <w:r>
      <w:rPr>
        <w:noProof/>
      </w:rPr>
      <w:drawing>
        <wp:anchor distT="0" distB="0" distL="114300" distR="114300" simplePos="0" relativeHeight="251659264" behindDoc="0" locked="0" layoutInCell="1" allowOverlap="0" wp14:anchorId="257509F7" wp14:editId="160C1DC7">
          <wp:simplePos x="0" y="0"/>
          <wp:positionH relativeFrom="page">
            <wp:posOffset>933450</wp:posOffset>
          </wp:positionH>
          <wp:positionV relativeFrom="page">
            <wp:posOffset>476250</wp:posOffset>
          </wp:positionV>
          <wp:extent cx="2085975" cy="523875"/>
          <wp:effectExtent l="0" t="0" r="0" b="0"/>
          <wp:wrapSquare wrapText="bothSides"/>
          <wp:docPr id="1005628022" name="Picture 937"/>
          <wp:cNvGraphicFramePr/>
          <a:graphic xmlns:a="http://schemas.openxmlformats.org/drawingml/2006/main">
            <a:graphicData uri="http://schemas.openxmlformats.org/drawingml/2006/picture">
              <pic:pic xmlns:pic="http://schemas.openxmlformats.org/drawingml/2006/picture">
                <pic:nvPicPr>
                  <pic:cNvPr id="937" name="Picture 937"/>
                  <pic:cNvPicPr/>
                </pic:nvPicPr>
                <pic:blipFill>
                  <a:blip r:embed="rId1"/>
                  <a:stretch>
                    <a:fillRect/>
                  </a:stretch>
                </pic:blipFill>
                <pic:spPr>
                  <a:xfrm>
                    <a:off x="0" y="0"/>
                    <a:ext cx="2085975" cy="523875"/>
                  </a:xfrm>
                  <a:prstGeom prst="rect">
                    <a:avLst/>
                  </a:prstGeom>
                </pic:spPr>
              </pic:pic>
            </a:graphicData>
          </a:graphic>
        </wp:anchor>
      </w:drawing>
    </w:r>
    <w:r>
      <w:rPr>
        <w:i/>
        <w:sz w:val="24"/>
      </w:rPr>
      <w:t xml:space="preserve">                                                Procesos industriales II  </w:t>
    </w:r>
    <w:r>
      <w:rPr>
        <w:rFonts w:ascii="Arial" w:eastAsia="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C9B2" w14:textId="77777777" w:rsidR="003605EC" w:rsidRDefault="007A478D">
    <w:pPr>
      <w:spacing w:after="0" w:line="259" w:lineRule="auto"/>
      <w:ind w:left="0" w:right="276" w:firstLine="0"/>
      <w:jc w:val="right"/>
    </w:pPr>
    <w:r>
      <w:rPr>
        <w:noProof/>
      </w:rPr>
      <w:drawing>
        <wp:anchor distT="0" distB="0" distL="114300" distR="114300" simplePos="0" relativeHeight="251660288" behindDoc="0" locked="0" layoutInCell="1" allowOverlap="0" wp14:anchorId="69DF14FC" wp14:editId="2E350281">
          <wp:simplePos x="0" y="0"/>
          <wp:positionH relativeFrom="page">
            <wp:posOffset>933450</wp:posOffset>
          </wp:positionH>
          <wp:positionV relativeFrom="page">
            <wp:posOffset>476250</wp:posOffset>
          </wp:positionV>
          <wp:extent cx="2085975" cy="523875"/>
          <wp:effectExtent l="0" t="0" r="0" b="0"/>
          <wp:wrapSquare wrapText="bothSides"/>
          <wp:docPr id="2083140689" name="Picture 937"/>
          <wp:cNvGraphicFramePr/>
          <a:graphic xmlns:a="http://schemas.openxmlformats.org/drawingml/2006/main">
            <a:graphicData uri="http://schemas.openxmlformats.org/drawingml/2006/picture">
              <pic:pic xmlns:pic="http://schemas.openxmlformats.org/drawingml/2006/picture">
                <pic:nvPicPr>
                  <pic:cNvPr id="937" name="Picture 937"/>
                  <pic:cNvPicPr/>
                </pic:nvPicPr>
                <pic:blipFill>
                  <a:blip r:embed="rId1"/>
                  <a:stretch>
                    <a:fillRect/>
                  </a:stretch>
                </pic:blipFill>
                <pic:spPr>
                  <a:xfrm>
                    <a:off x="0" y="0"/>
                    <a:ext cx="2085975" cy="523875"/>
                  </a:xfrm>
                  <a:prstGeom prst="rect">
                    <a:avLst/>
                  </a:prstGeom>
                </pic:spPr>
              </pic:pic>
            </a:graphicData>
          </a:graphic>
        </wp:anchor>
      </w:drawing>
    </w:r>
    <w:r>
      <w:rPr>
        <w:i/>
        <w:sz w:val="24"/>
      </w:rPr>
      <w:t xml:space="preserve">                                                    Procesos industriales II  </w:t>
    </w: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2118"/>
    <w:multiLevelType w:val="hybridMultilevel"/>
    <w:tmpl w:val="BFC8F692"/>
    <w:lvl w:ilvl="0" w:tplc="F20E940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E8A6F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4E8C7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C2ABE2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B29C0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DC2A9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32C81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3CFB8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DA23D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D0746F"/>
    <w:multiLevelType w:val="hybridMultilevel"/>
    <w:tmpl w:val="2864FC60"/>
    <w:lvl w:ilvl="0" w:tplc="AF76E124">
      <w:start w:val="1"/>
      <w:numFmt w:val="bullet"/>
      <w:lvlText w:val="❖"/>
      <w:lvlJc w:val="left"/>
      <w:pPr>
        <w:ind w:left="72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1" w:tplc="E85CBC2A">
      <w:start w:val="1"/>
      <w:numFmt w:val="bullet"/>
      <w:lvlText w:val="o"/>
      <w:lvlJc w:val="left"/>
      <w:pPr>
        <w:ind w:left="144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2" w:tplc="102CEACC">
      <w:start w:val="1"/>
      <w:numFmt w:val="bullet"/>
      <w:lvlText w:val="▪"/>
      <w:lvlJc w:val="left"/>
      <w:pPr>
        <w:ind w:left="216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3" w:tplc="4ABA0E98">
      <w:start w:val="1"/>
      <w:numFmt w:val="bullet"/>
      <w:lvlText w:val="•"/>
      <w:lvlJc w:val="left"/>
      <w:pPr>
        <w:ind w:left="288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4" w:tplc="4AE6DF9C">
      <w:start w:val="1"/>
      <w:numFmt w:val="bullet"/>
      <w:lvlText w:val="o"/>
      <w:lvlJc w:val="left"/>
      <w:pPr>
        <w:ind w:left="360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5" w:tplc="09AA2F24">
      <w:start w:val="1"/>
      <w:numFmt w:val="bullet"/>
      <w:lvlText w:val="▪"/>
      <w:lvlJc w:val="left"/>
      <w:pPr>
        <w:ind w:left="432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6" w:tplc="E5989CE0">
      <w:start w:val="1"/>
      <w:numFmt w:val="bullet"/>
      <w:lvlText w:val="•"/>
      <w:lvlJc w:val="left"/>
      <w:pPr>
        <w:ind w:left="504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7" w:tplc="D4987D7E">
      <w:start w:val="1"/>
      <w:numFmt w:val="bullet"/>
      <w:lvlText w:val="o"/>
      <w:lvlJc w:val="left"/>
      <w:pPr>
        <w:ind w:left="576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8" w:tplc="DE980F7E">
      <w:start w:val="1"/>
      <w:numFmt w:val="bullet"/>
      <w:lvlText w:val="▪"/>
      <w:lvlJc w:val="left"/>
      <w:pPr>
        <w:ind w:left="648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BA4B91"/>
    <w:multiLevelType w:val="hybridMultilevel"/>
    <w:tmpl w:val="9B78CD00"/>
    <w:lvl w:ilvl="0" w:tplc="03286C4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323DF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1C5EA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D8A3C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C0DC8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7A0B2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F4EE1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F0037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DC874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89B339B"/>
    <w:multiLevelType w:val="hybridMultilevel"/>
    <w:tmpl w:val="1CC06856"/>
    <w:lvl w:ilvl="0" w:tplc="2F74DA72">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38E016">
      <w:start w:val="1"/>
      <w:numFmt w:val="lowerLetter"/>
      <w:lvlText w:val="%2"/>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805206">
      <w:start w:val="1"/>
      <w:numFmt w:val="lowerRoman"/>
      <w:lvlText w:val="%3"/>
      <w:lvlJc w:val="left"/>
      <w:pPr>
        <w:ind w:left="1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EC461A">
      <w:start w:val="1"/>
      <w:numFmt w:val="decimal"/>
      <w:lvlText w:val="%4"/>
      <w:lvlJc w:val="left"/>
      <w:pPr>
        <w:ind w:left="2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0A5E90">
      <w:start w:val="1"/>
      <w:numFmt w:val="lowerLetter"/>
      <w:lvlText w:val="%5"/>
      <w:lvlJc w:val="left"/>
      <w:pPr>
        <w:ind w:left="3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3665CE">
      <w:start w:val="1"/>
      <w:numFmt w:val="lowerRoman"/>
      <w:lvlText w:val="%6"/>
      <w:lvlJc w:val="left"/>
      <w:pPr>
        <w:ind w:left="4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B8BE0E">
      <w:start w:val="1"/>
      <w:numFmt w:val="decimal"/>
      <w:lvlText w:val="%7"/>
      <w:lvlJc w:val="left"/>
      <w:pPr>
        <w:ind w:left="4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344466">
      <w:start w:val="1"/>
      <w:numFmt w:val="lowerLetter"/>
      <w:lvlText w:val="%8"/>
      <w:lvlJc w:val="left"/>
      <w:pPr>
        <w:ind w:left="5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B07246">
      <w:start w:val="1"/>
      <w:numFmt w:val="lowerRoman"/>
      <w:lvlText w:val="%9"/>
      <w:lvlJc w:val="left"/>
      <w:pPr>
        <w:ind w:left="62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4435805"/>
    <w:multiLevelType w:val="hybridMultilevel"/>
    <w:tmpl w:val="F7F2A2E4"/>
    <w:lvl w:ilvl="0" w:tplc="AD6A52A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52DE1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F6141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FCABD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50F6D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8A4DC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E04F5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3AD05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0C017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839502D"/>
    <w:multiLevelType w:val="hybridMultilevel"/>
    <w:tmpl w:val="3A764A8C"/>
    <w:lvl w:ilvl="0" w:tplc="5FF00B1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DC6A5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623DA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FC64E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16060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925D8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78223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4C267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70617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5EC"/>
    <w:rsid w:val="0010235D"/>
    <w:rsid w:val="003605EC"/>
    <w:rsid w:val="007A478D"/>
    <w:rsid w:val="00B13B4D"/>
    <w:rsid w:val="00BC67E6"/>
    <w:rsid w:val="00F008B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F6E48"/>
  <w15:docId w15:val="{B80003E1-315E-4BF8-A466-D24DEE590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s-AR" w:eastAsia="es-AR"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 w:line="267" w:lineRule="auto"/>
      <w:ind w:left="10" w:hanging="10"/>
      <w:jc w:val="both"/>
    </w:pPr>
    <w:rPr>
      <w:rFonts w:ascii="Times New Roman" w:eastAsia="Times New Roman" w:hAnsi="Times New Roman" w:cs="Times New Roman"/>
      <w:color w:val="000000"/>
      <w:sz w:val="22"/>
    </w:rPr>
  </w:style>
  <w:style w:type="paragraph" w:styleId="Ttulo1">
    <w:name w:val="heading 1"/>
    <w:next w:val="Normal"/>
    <w:link w:val="Ttulo1Car"/>
    <w:uiPriority w:val="9"/>
    <w:qFormat/>
    <w:pPr>
      <w:keepNext/>
      <w:keepLines/>
      <w:spacing w:after="96" w:line="259" w:lineRule="auto"/>
      <w:ind w:left="10" w:hanging="10"/>
      <w:outlineLvl w:val="0"/>
    </w:pPr>
    <w:rPr>
      <w:rFonts w:ascii="Times New Roman" w:eastAsia="Times New Roman" w:hAnsi="Times New Roman" w:cs="Times New Roman"/>
      <w:color w:val="000000"/>
      <w:sz w:val="22"/>
      <w:u w:val="single" w:color="000000"/>
    </w:rPr>
  </w:style>
  <w:style w:type="paragraph" w:styleId="Ttulo2">
    <w:name w:val="heading 2"/>
    <w:next w:val="Normal"/>
    <w:link w:val="Ttulo2Car"/>
    <w:uiPriority w:val="9"/>
    <w:unhideWhenUsed/>
    <w:qFormat/>
    <w:pPr>
      <w:keepNext/>
      <w:keepLines/>
      <w:spacing w:after="33" w:line="259" w:lineRule="auto"/>
      <w:outlineLvl w:val="1"/>
    </w:pPr>
    <w:rPr>
      <w:rFonts w:ascii="Times New Roman" w:eastAsia="Times New Roman" w:hAnsi="Times New Roman" w:cs="Times New Roman"/>
      <w:color w:val="000000"/>
      <w:sz w:val="2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Times New Roman" w:eastAsia="Times New Roman" w:hAnsi="Times New Roman" w:cs="Times New Roman"/>
      <w:color w:val="000000"/>
      <w:sz w:val="20"/>
      <w:u w:val="single" w:color="000000"/>
    </w:rPr>
  </w:style>
  <w:style w:type="character" w:customStyle="1" w:styleId="Ttulo1Car">
    <w:name w:val="Título 1 Car"/>
    <w:link w:val="Ttulo1"/>
    <w:rPr>
      <w:rFonts w:ascii="Times New Roman" w:eastAsia="Times New Roman" w:hAnsi="Times New Roman" w:cs="Times New Roman"/>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1543</Words>
  <Characters>8488</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Resumen grupo 3: Seminario Carnes 2026</vt:lpstr>
    </vt:vector>
  </TitlesOfParts>
  <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Resumen grupo 3: Seminario Carnes 2026</dc:title>
  <dc:subject/>
  <dc:creator>Rocio Flesler</dc:creator>
  <cp:keywords/>
  <cp:lastModifiedBy>user</cp:lastModifiedBy>
  <cp:revision>3</cp:revision>
  <dcterms:created xsi:type="dcterms:W3CDTF">2026-06-29T22:44:00Z</dcterms:created>
  <dcterms:modified xsi:type="dcterms:W3CDTF">2026-06-29T22:50:00Z</dcterms:modified>
</cp:coreProperties>
</file>