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DE" w:rsidRPr="003924EC" w:rsidRDefault="003924EC" w:rsidP="003924EC">
      <w:pPr>
        <w:jc w:val="center"/>
        <w:rPr>
          <w:rFonts w:ascii="Verdana" w:hAnsi="Verdana"/>
          <w:b/>
          <w:sz w:val="32"/>
          <w:szCs w:val="32"/>
          <w:u w:val="single"/>
        </w:rPr>
      </w:pPr>
      <w:bookmarkStart w:id="0" w:name="_GoBack"/>
      <w:bookmarkEnd w:id="0"/>
      <w:r w:rsidRPr="003924EC">
        <w:rPr>
          <w:rFonts w:ascii="Verdana" w:hAnsi="Verdana"/>
          <w:b/>
          <w:sz w:val="32"/>
          <w:szCs w:val="32"/>
          <w:u w:val="single"/>
        </w:rPr>
        <w:t>PARA SUPERIORES, DOCENTES Y NO DOCENTES AFILIADOS A LA OSUNER</w:t>
      </w:r>
    </w:p>
    <w:p w:rsidR="003924EC" w:rsidRDefault="003924EC" w:rsidP="00315ADE">
      <w:pPr>
        <w:rPr>
          <w:rFonts w:ascii="Verdana" w:hAnsi="Verdana"/>
          <w:b/>
          <w:u w:val="single"/>
        </w:rPr>
      </w:pPr>
    </w:p>
    <w:p w:rsidR="003924EC" w:rsidRPr="003924EC" w:rsidRDefault="003924EC" w:rsidP="00315ADE">
      <w:pPr>
        <w:rPr>
          <w:rFonts w:ascii="Verdana" w:hAnsi="Verdana"/>
          <w:b/>
          <w:sz w:val="32"/>
          <w:szCs w:val="32"/>
        </w:rPr>
      </w:pPr>
      <w:r w:rsidRPr="003924EC">
        <w:rPr>
          <w:rFonts w:ascii="Verdana" w:hAnsi="Verdana"/>
          <w:b/>
          <w:sz w:val="32"/>
          <w:szCs w:val="32"/>
        </w:rPr>
        <w:t>Nuevas coberturas para tener en cuenta aprobadas en los meses de marzo y abril 2016 que se encuentran vigentes.</w:t>
      </w:r>
    </w:p>
    <w:p w:rsidR="00315ADE" w:rsidRPr="00981192" w:rsidRDefault="00315ADE" w:rsidP="00315ADE">
      <w:pPr>
        <w:rPr>
          <w:rFonts w:ascii="Verdana" w:hAnsi="Verdana"/>
          <w:b/>
        </w:rPr>
      </w:pPr>
    </w:p>
    <w:p w:rsidR="00315ADE" w:rsidRDefault="00315ADE" w:rsidP="00315ADE">
      <w:pPr>
        <w:ind w:firstLine="357"/>
        <w:jc w:val="both"/>
        <w:rPr>
          <w:rFonts w:ascii="Verdana" w:hAnsi="Verdana"/>
        </w:rPr>
      </w:pPr>
    </w:p>
    <w:p w:rsidR="00315ADE" w:rsidRPr="00691F69" w:rsidRDefault="00315ADE" w:rsidP="00315ADE">
      <w:pPr>
        <w:numPr>
          <w:ilvl w:val="0"/>
          <w:numId w:val="1"/>
        </w:numPr>
        <w:ind w:left="714" w:hanging="357"/>
        <w:jc w:val="both"/>
        <w:rPr>
          <w:rFonts w:cs="Arial"/>
        </w:rPr>
      </w:pPr>
      <w:r w:rsidRPr="003924EC">
        <w:rPr>
          <w:rFonts w:ascii="Verdana" w:hAnsi="Verdana"/>
          <w:b/>
          <w:sz w:val="28"/>
          <w:szCs w:val="28"/>
        </w:rPr>
        <w:t xml:space="preserve">Cobertura de prácticas odontológicas no </w:t>
      </w:r>
      <w:proofErr w:type="spellStart"/>
      <w:r w:rsidRPr="003924EC">
        <w:rPr>
          <w:rFonts w:ascii="Verdana" w:hAnsi="Verdana"/>
          <w:b/>
          <w:sz w:val="28"/>
          <w:szCs w:val="28"/>
        </w:rPr>
        <w:t>nomencladas</w:t>
      </w:r>
      <w:proofErr w:type="spellEnd"/>
      <w:r w:rsidRPr="003924EC">
        <w:rPr>
          <w:rFonts w:ascii="Verdana" w:hAnsi="Verdana"/>
          <w:b/>
          <w:sz w:val="28"/>
          <w:szCs w:val="28"/>
        </w:rPr>
        <w:t>:</w:t>
      </w:r>
      <w:r w:rsidRPr="00691F69">
        <w:rPr>
          <w:rFonts w:ascii="Verdana" w:hAnsi="Verdana"/>
        </w:rPr>
        <w:t xml:space="preserve"> Aumento del </w:t>
      </w:r>
      <w:r w:rsidRPr="00691F69">
        <w:rPr>
          <w:rFonts w:ascii="Verdana" w:hAnsi="Verdana"/>
          <w:b/>
          <w:u w:val="single"/>
        </w:rPr>
        <w:t>30%</w:t>
      </w:r>
      <w:r w:rsidRPr="00691F69">
        <w:rPr>
          <w:rFonts w:ascii="Verdana" w:hAnsi="Verdana"/>
          <w:u w:val="single"/>
        </w:rPr>
        <w:t xml:space="preserve"> en los valores de referencia</w:t>
      </w:r>
      <w:r w:rsidRPr="00691F69">
        <w:rPr>
          <w:rFonts w:ascii="Verdana" w:hAnsi="Verdana"/>
        </w:rPr>
        <w:t xml:space="preserve"> para prácticas odontológicas no </w:t>
      </w:r>
      <w:proofErr w:type="spellStart"/>
      <w:r w:rsidRPr="00691F69">
        <w:rPr>
          <w:rFonts w:ascii="Verdana" w:hAnsi="Verdana"/>
        </w:rPr>
        <w:t>nomencladas</w:t>
      </w:r>
      <w:proofErr w:type="spellEnd"/>
      <w:r w:rsidRPr="00691F69">
        <w:rPr>
          <w:rFonts w:ascii="Verdana" w:hAnsi="Verdana"/>
        </w:rPr>
        <w:t xml:space="preserve">, para reintegro. </w:t>
      </w:r>
    </w:p>
    <w:p w:rsidR="00315ADE" w:rsidRPr="00691F69" w:rsidRDefault="00315ADE" w:rsidP="00315ADE">
      <w:pPr>
        <w:numPr>
          <w:ilvl w:val="0"/>
          <w:numId w:val="1"/>
        </w:numPr>
        <w:ind w:left="714" w:hanging="357"/>
        <w:jc w:val="both"/>
        <w:rPr>
          <w:rFonts w:cs="Arial"/>
        </w:rPr>
      </w:pPr>
      <w:r w:rsidRPr="00691F69">
        <w:rPr>
          <w:rFonts w:ascii="Verdana" w:hAnsi="Verdana"/>
        </w:rPr>
        <w:t xml:space="preserve">El reconocimiento será imputado a la obra social </w:t>
      </w:r>
      <w:r>
        <w:rPr>
          <w:rFonts w:ascii="Verdana" w:hAnsi="Verdana"/>
        </w:rPr>
        <w:t xml:space="preserve">en </w:t>
      </w:r>
      <w:r w:rsidRPr="00691F69">
        <w:rPr>
          <w:rFonts w:ascii="Verdana" w:hAnsi="Verdana"/>
        </w:rPr>
        <w:t xml:space="preserve">un 40% y 40% al FECE. </w:t>
      </w:r>
    </w:p>
    <w:p w:rsidR="00315ADE" w:rsidRPr="00F03271" w:rsidRDefault="00315ADE" w:rsidP="00315ADE">
      <w:pPr>
        <w:pStyle w:val="Prrafodelista"/>
        <w:jc w:val="both"/>
        <w:rPr>
          <w:rFonts w:ascii="Verdana" w:hAnsi="Verdana"/>
        </w:rPr>
      </w:pPr>
    </w:p>
    <w:p w:rsidR="00315ADE" w:rsidRDefault="00315ADE" w:rsidP="00315ADE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3924EC">
        <w:rPr>
          <w:rFonts w:ascii="Verdana" w:hAnsi="Verdana" w:cs="Arial"/>
          <w:b/>
          <w:sz w:val="32"/>
          <w:szCs w:val="32"/>
          <w:lang w:val="es-AR"/>
        </w:rPr>
        <w:t>Óptica:</w:t>
      </w:r>
      <w:r>
        <w:rPr>
          <w:rFonts w:ascii="Verdana" w:hAnsi="Verdana" w:cs="Arial"/>
          <w:b/>
          <w:lang w:val="es-AR"/>
        </w:rPr>
        <w:t xml:space="preserve"> </w:t>
      </w:r>
      <w:r>
        <w:rPr>
          <w:rFonts w:ascii="Verdana" w:hAnsi="Verdana"/>
        </w:rPr>
        <w:t>Los montos que se reconocerán para los</w:t>
      </w:r>
      <w:r w:rsidRPr="00AE3F1F">
        <w:rPr>
          <w:rFonts w:ascii="Verdana" w:hAnsi="Verdana"/>
        </w:rPr>
        <w:t xml:space="preserve"> reintegro</w:t>
      </w:r>
      <w:r>
        <w:rPr>
          <w:rFonts w:ascii="Verdana" w:hAnsi="Verdana"/>
        </w:rPr>
        <w:t>s en óptica son los siguientes:</w:t>
      </w:r>
    </w:p>
    <w:p w:rsidR="00315ADE" w:rsidRDefault="00315ADE" w:rsidP="00315ADE">
      <w:pPr>
        <w:pStyle w:val="Prrafodelista"/>
        <w:ind w:left="360" w:firstLine="348"/>
        <w:jc w:val="both"/>
        <w:rPr>
          <w:rFonts w:ascii="Verdana" w:hAnsi="Verdana"/>
        </w:rPr>
      </w:pPr>
      <w:r>
        <w:rPr>
          <w:rFonts w:ascii="Verdana" w:hAnsi="Verdana"/>
        </w:rPr>
        <w:t xml:space="preserve">-Marcos: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$ 423.-</w:t>
      </w:r>
    </w:p>
    <w:p w:rsidR="00315ADE" w:rsidRDefault="00315ADE" w:rsidP="00315ADE">
      <w:pPr>
        <w:pStyle w:val="Prrafodelista"/>
        <w:ind w:left="360" w:firstLine="348"/>
        <w:jc w:val="both"/>
        <w:rPr>
          <w:rFonts w:ascii="Verdana" w:hAnsi="Verdana"/>
        </w:rPr>
      </w:pPr>
      <w:r>
        <w:rPr>
          <w:rFonts w:ascii="Verdana" w:hAnsi="Verdana"/>
        </w:rPr>
        <w:t xml:space="preserve">-Cristales Esféricos: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$ 744.-</w:t>
      </w:r>
    </w:p>
    <w:p w:rsidR="00315ADE" w:rsidRDefault="00315ADE" w:rsidP="00315ADE">
      <w:pPr>
        <w:pStyle w:val="Prrafodelista"/>
        <w:ind w:left="360" w:firstLine="348"/>
        <w:jc w:val="both"/>
        <w:rPr>
          <w:rFonts w:ascii="Verdana" w:hAnsi="Verdana"/>
        </w:rPr>
      </w:pPr>
      <w:r>
        <w:rPr>
          <w:rFonts w:ascii="Verdana" w:hAnsi="Verdana"/>
        </w:rPr>
        <w:t xml:space="preserve">-Cristales Bifocales: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$ 1369.-</w:t>
      </w:r>
    </w:p>
    <w:p w:rsidR="00315ADE" w:rsidRDefault="00315ADE" w:rsidP="00315ADE">
      <w:pPr>
        <w:pStyle w:val="Prrafodelista"/>
        <w:ind w:left="360" w:firstLine="348"/>
        <w:jc w:val="both"/>
        <w:rPr>
          <w:rFonts w:ascii="Verdana" w:hAnsi="Verdana"/>
        </w:rPr>
      </w:pPr>
      <w:r>
        <w:rPr>
          <w:rFonts w:ascii="Verdana" w:hAnsi="Verdana"/>
        </w:rPr>
        <w:t xml:space="preserve">-Cristales Multifocales: </w:t>
      </w:r>
      <w:r>
        <w:rPr>
          <w:rFonts w:ascii="Verdana" w:hAnsi="Verdana"/>
        </w:rPr>
        <w:tab/>
        <w:t>$ 1690.-</w:t>
      </w:r>
    </w:p>
    <w:p w:rsidR="00315ADE" w:rsidRDefault="00315ADE" w:rsidP="00315ADE">
      <w:pPr>
        <w:pStyle w:val="Prrafodelista"/>
        <w:ind w:left="360" w:firstLine="348"/>
        <w:jc w:val="both"/>
        <w:rPr>
          <w:rFonts w:ascii="Verdana" w:hAnsi="Verdana"/>
        </w:rPr>
      </w:pPr>
      <w:r>
        <w:rPr>
          <w:rFonts w:ascii="Verdana" w:hAnsi="Verdana"/>
        </w:rPr>
        <w:t xml:space="preserve">-Lentes de Contacto: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$ 1065.- </w:t>
      </w:r>
    </w:p>
    <w:p w:rsidR="00315ADE" w:rsidRPr="00043382" w:rsidRDefault="00315ADE" w:rsidP="00315ADE">
      <w:pPr>
        <w:ind w:left="720"/>
        <w:jc w:val="both"/>
        <w:rPr>
          <w:rFonts w:cs="Arial"/>
        </w:rPr>
      </w:pPr>
      <w:r>
        <w:rPr>
          <w:rFonts w:ascii="Verdana" w:hAnsi="Verdana" w:cs="Arial"/>
          <w:u w:val="single"/>
          <w:lang w:val="es-AR"/>
        </w:rPr>
        <w:t>-</w:t>
      </w:r>
      <w:r w:rsidRPr="00B43BC1">
        <w:rPr>
          <w:rFonts w:ascii="Verdana" w:hAnsi="Verdana" w:cs="Arial"/>
          <w:u w:val="single"/>
          <w:lang w:val="es-AR"/>
        </w:rPr>
        <w:t>Lentes de Contacto Rígidos ESPECIALES</w:t>
      </w:r>
      <w:r>
        <w:rPr>
          <w:rFonts w:ascii="Verdana" w:hAnsi="Verdana"/>
        </w:rPr>
        <w:t xml:space="preserve">: </w:t>
      </w:r>
      <w:r w:rsidRPr="00043382">
        <w:rPr>
          <w:rFonts w:ascii="Verdana" w:hAnsi="Verdana"/>
        </w:rPr>
        <w:t xml:space="preserve">Reconocimiento por </w:t>
      </w:r>
      <w:r>
        <w:rPr>
          <w:rFonts w:ascii="Verdana" w:hAnsi="Verdana"/>
        </w:rPr>
        <w:t xml:space="preserve">    </w:t>
      </w:r>
      <w:r w:rsidRPr="00043382">
        <w:rPr>
          <w:rFonts w:ascii="Verdana" w:hAnsi="Verdana"/>
        </w:rPr>
        <w:t xml:space="preserve">reintegro, con justificación médica y estudios </w:t>
      </w:r>
      <w:proofErr w:type="spellStart"/>
      <w:r w:rsidRPr="00043382">
        <w:rPr>
          <w:rFonts w:ascii="Verdana" w:hAnsi="Verdana"/>
        </w:rPr>
        <w:t>respaldatorios</w:t>
      </w:r>
      <w:proofErr w:type="spellEnd"/>
      <w:r w:rsidRPr="00043382">
        <w:rPr>
          <w:rFonts w:ascii="Verdana" w:hAnsi="Verdana"/>
        </w:rPr>
        <w:t xml:space="preserve">, hasta </w:t>
      </w:r>
      <w:r w:rsidRPr="00043382">
        <w:rPr>
          <w:rFonts w:ascii="Verdana" w:hAnsi="Verdana" w:cs="Arial"/>
          <w:lang w:val="es-AR"/>
        </w:rPr>
        <w:t xml:space="preserve">un tope máximo de </w:t>
      </w:r>
      <w:r>
        <w:rPr>
          <w:rFonts w:ascii="Verdana" w:hAnsi="Verdana" w:cs="Arial"/>
          <w:lang w:val="es-AR"/>
        </w:rPr>
        <w:t>pesos un mil novecientos diez ($1910)</w:t>
      </w:r>
      <w:r w:rsidRPr="00043382">
        <w:rPr>
          <w:rFonts w:ascii="Verdana" w:hAnsi="Verdana" w:cs="Arial"/>
          <w:lang w:val="es-AR"/>
        </w:rPr>
        <w:t xml:space="preserve">. </w:t>
      </w:r>
    </w:p>
    <w:p w:rsidR="00315ADE" w:rsidRPr="003924EC" w:rsidRDefault="00315ADE" w:rsidP="00315ADE">
      <w:pPr>
        <w:ind w:left="360"/>
        <w:jc w:val="both"/>
        <w:rPr>
          <w:rFonts w:cs="Arial"/>
          <w:sz w:val="32"/>
          <w:szCs w:val="32"/>
        </w:rPr>
      </w:pPr>
    </w:p>
    <w:p w:rsidR="00315ADE" w:rsidRDefault="00315ADE" w:rsidP="00315ADE">
      <w:pPr>
        <w:numPr>
          <w:ilvl w:val="0"/>
          <w:numId w:val="2"/>
        </w:numPr>
        <w:jc w:val="both"/>
        <w:rPr>
          <w:rFonts w:ascii="Verdana" w:hAnsi="Verdana"/>
        </w:rPr>
      </w:pPr>
      <w:r w:rsidRPr="003924EC">
        <w:rPr>
          <w:rFonts w:ascii="Verdana" w:hAnsi="Verdana"/>
          <w:b/>
          <w:sz w:val="32"/>
          <w:szCs w:val="32"/>
        </w:rPr>
        <w:t>Plantillas y Zapatos Ortopédicos</w:t>
      </w:r>
      <w:r w:rsidRPr="00043382">
        <w:rPr>
          <w:rFonts w:ascii="Verdana" w:hAnsi="Verdana"/>
        </w:rPr>
        <w:t>: Reconocimiento del 80% del valor de referencia establecido por la OSUNER</w:t>
      </w:r>
      <w:r>
        <w:rPr>
          <w:rFonts w:ascii="Verdana" w:hAnsi="Verdana"/>
        </w:rPr>
        <w:t>,</w:t>
      </w:r>
      <w:r w:rsidRPr="00043382">
        <w:rPr>
          <w:rFonts w:ascii="Verdana" w:hAnsi="Verdana"/>
        </w:rPr>
        <w:t xml:space="preserve"> para reintegro contra presentación de factura y orden médica. </w:t>
      </w:r>
    </w:p>
    <w:p w:rsidR="00315ADE" w:rsidRPr="00043382" w:rsidRDefault="00315ADE" w:rsidP="00315ADE">
      <w:pPr>
        <w:ind w:left="720"/>
        <w:jc w:val="both"/>
        <w:rPr>
          <w:rFonts w:ascii="Verdana" w:hAnsi="Verdana"/>
        </w:rPr>
      </w:pPr>
      <w:r w:rsidRPr="00043382">
        <w:rPr>
          <w:rFonts w:ascii="Verdana" w:hAnsi="Verdana"/>
          <w:b/>
        </w:rPr>
        <w:t>Plantillas</w:t>
      </w:r>
      <w:r w:rsidRPr="00043382">
        <w:rPr>
          <w:rFonts w:ascii="Verdana" w:hAnsi="Verdana"/>
        </w:rPr>
        <w:t xml:space="preserve">: </w:t>
      </w:r>
      <w:r>
        <w:rPr>
          <w:rFonts w:ascii="Verdana" w:hAnsi="Verdana"/>
        </w:rPr>
        <w:t>$541</w:t>
      </w:r>
      <w:r w:rsidRPr="00043382">
        <w:rPr>
          <w:rFonts w:ascii="Verdana" w:hAnsi="Verdana"/>
        </w:rPr>
        <w:t>.-</w:t>
      </w:r>
    </w:p>
    <w:p w:rsidR="00315ADE" w:rsidRDefault="00315ADE" w:rsidP="00315ADE">
      <w:pPr>
        <w:ind w:left="720"/>
        <w:jc w:val="both"/>
        <w:rPr>
          <w:rFonts w:ascii="Verdana" w:hAnsi="Verdana"/>
        </w:rPr>
      </w:pPr>
      <w:r>
        <w:rPr>
          <w:rFonts w:ascii="Verdana" w:hAnsi="Verdana"/>
          <w:b/>
        </w:rPr>
        <w:t>Zapatillas</w:t>
      </w:r>
      <w:r w:rsidRPr="00093C14">
        <w:rPr>
          <w:rFonts w:ascii="Verdana" w:hAnsi="Verdana"/>
        </w:rPr>
        <w:t>:</w:t>
      </w:r>
      <w:r>
        <w:rPr>
          <w:rFonts w:ascii="Verdana" w:hAnsi="Verdana"/>
        </w:rPr>
        <w:t xml:space="preserve"> $845.-</w:t>
      </w:r>
    </w:p>
    <w:p w:rsidR="00315ADE" w:rsidRDefault="00315ADE" w:rsidP="00315ADE">
      <w:pPr>
        <w:jc w:val="both"/>
        <w:rPr>
          <w:rFonts w:ascii="Verdana" w:hAnsi="Verdana"/>
        </w:rPr>
      </w:pPr>
    </w:p>
    <w:p w:rsidR="00315ADE" w:rsidRPr="003924EC" w:rsidRDefault="00315ADE" w:rsidP="00315ADE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32"/>
          <w:szCs w:val="32"/>
        </w:rPr>
      </w:pPr>
      <w:r w:rsidRPr="003924EC">
        <w:rPr>
          <w:rFonts w:ascii="Verdana" w:hAnsi="Verdana" w:cs="Arial"/>
          <w:b/>
          <w:sz w:val="32"/>
          <w:szCs w:val="32"/>
          <w:lang w:val="es-AR"/>
        </w:rPr>
        <w:t xml:space="preserve">Podología: </w:t>
      </w:r>
    </w:p>
    <w:p w:rsidR="00315ADE" w:rsidRDefault="00315ADE" w:rsidP="00315ADE">
      <w:pPr>
        <w:ind w:left="708"/>
        <w:jc w:val="both"/>
        <w:rPr>
          <w:rFonts w:ascii="Verdana" w:hAnsi="Verdana"/>
        </w:rPr>
      </w:pPr>
      <w:r>
        <w:rPr>
          <w:rFonts w:ascii="Verdana" w:hAnsi="Verdana" w:cs="Arial"/>
          <w:b/>
          <w:lang w:val="es-AR"/>
        </w:rPr>
        <w:t xml:space="preserve">Cobertura Diferenciada: </w:t>
      </w:r>
      <w:r w:rsidRPr="006B0358">
        <w:rPr>
          <w:rFonts w:ascii="Verdana" w:hAnsi="Verdana" w:cs="Arial"/>
          <w:lang w:val="es-AR"/>
        </w:rPr>
        <w:t>Se reconocer</w:t>
      </w:r>
      <w:r>
        <w:rPr>
          <w:rFonts w:ascii="Verdana" w:hAnsi="Verdana" w:cs="Arial"/>
          <w:lang w:val="es-AR"/>
        </w:rPr>
        <w:t>á</w:t>
      </w:r>
      <w:r w:rsidRPr="006B0358">
        <w:rPr>
          <w:rFonts w:ascii="Verdana" w:hAnsi="Verdana"/>
        </w:rPr>
        <w:t xml:space="preserve"> </w:t>
      </w:r>
      <w:r>
        <w:rPr>
          <w:rFonts w:ascii="Verdana" w:hAnsi="Verdana"/>
        </w:rPr>
        <w:t>hasta la suma de doscientos veinte pesos ($220.-) por mes, por el sistema de reintegro contra presentación de factura para los afiliados adheridos al plan diabético.</w:t>
      </w:r>
    </w:p>
    <w:p w:rsidR="00315ADE" w:rsidRPr="00BB7E0C" w:rsidRDefault="00315ADE" w:rsidP="00315ADE">
      <w:pPr>
        <w:ind w:left="708"/>
        <w:jc w:val="both"/>
        <w:rPr>
          <w:rFonts w:ascii="Verdana" w:hAnsi="Verdana"/>
        </w:rPr>
      </w:pPr>
      <w:r w:rsidRPr="00BB7E0C">
        <w:rPr>
          <w:rFonts w:ascii="Verdana" w:hAnsi="Verdana"/>
          <w:b/>
        </w:rPr>
        <w:t>Cobertura Normal</w:t>
      </w:r>
      <w:r>
        <w:rPr>
          <w:rFonts w:ascii="Verdana" w:hAnsi="Verdana"/>
          <w:b/>
        </w:rPr>
        <w:t xml:space="preserve"> (resto de afiliados)</w:t>
      </w:r>
      <w:r>
        <w:rPr>
          <w:rFonts w:ascii="Verdana" w:hAnsi="Verdana"/>
        </w:rPr>
        <w:t xml:space="preserve">: </w:t>
      </w:r>
      <w:r>
        <w:rPr>
          <w:rFonts w:ascii="Verdana" w:hAnsi="Verdana" w:cs="Arial"/>
          <w:lang w:val="es-AR"/>
        </w:rPr>
        <w:t>Se reconocerá hasta la suma de ciento cincuenta y dos pesos</w:t>
      </w:r>
      <w:r>
        <w:rPr>
          <w:rFonts w:ascii="Verdana" w:hAnsi="Verdana"/>
        </w:rPr>
        <w:t xml:space="preserve"> ($152.-) por mes, por el sistema de  reintegro contra presentación de factura. </w:t>
      </w:r>
    </w:p>
    <w:p w:rsidR="00315ADE" w:rsidRDefault="00315ADE" w:rsidP="00315ADE">
      <w:pPr>
        <w:jc w:val="both"/>
        <w:rPr>
          <w:rFonts w:cs="Arial"/>
        </w:rPr>
      </w:pPr>
    </w:p>
    <w:p w:rsidR="00315ADE" w:rsidRPr="00043382" w:rsidRDefault="00315ADE" w:rsidP="00315ADE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3924EC">
        <w:rPr>
          <w:rFonts w:ascii="Verdana" w:hAnsi="Verdana"/>
          <w:b/>
          <w:sz w:val="32"/>
          <w:szCs w:val="32"/>
        </w:rPr>
        <w:t>DIU:</w:t>
      </w:r>
      <w:r w:rsidRPr="00043382">
        <w:rPr>
          <w:rFonts w:ascii="Verdana" w:hAnsi="Verdana"/>
        </w:rPr>
        <w:t xml:space="preserve"> </w:t>
      </w:r>
      <w:r>
        <w:rPr>
          <w:rFonts w:ascii="Verdana" w:hAnsi="Verdana"/>
        </w:rPr>
        <w:t>R</w:t>
      </w:r>
      <w:r w:rsidRPr="00043382">
        <w:rPr>
          <w:rFonts w:ascii="Verdana" w:hAnsi="Verdana"/>
        </w:rPr>
        <w:t xml:space="preserve">econocimiento por reintegro del Dispositivo </w:t>
      </w:r>
      <w:proofErr w:type="spellStart"/>
      <w:r w:rsidRPr="00043382">
        <w:rPr>
          <w:rFonts w:ascii="Verdana" w:hAnsi="Verdana"/>
        </w:rPr>
        <w:t>Intra</w:t>
      </w:r>
      <w:proofErr w:type="spellEnd"/>
      <w:r w:rsidRPr="00043382">
        <w:rPr>
          <w:rFonts w:ascii="Verdana" w:hAnsi="Verdana"/>
        </w:rPr>
        <w:t xml:space="preserve"> Uterino (DIU) a un mil </w:t>
      </w:r>
      <w:r>
        <w:rPr>
          <w:rFonts w:ascii="Verdana" w:hAnsi="Verdana"/>
        </w:rPr>
        <w:t xml:space="preserve">seiscientos noventa </w:t>
      </w:r>
      <w:r w:rsidRPr="00043382">
        <w:rPr>
          <w:rFonts w:ascii="Verdana" w:hAnsi="Verdana"/>
        </w:rPr>
        <w:t xml:space="preserve">pesos ($ </w:t>
      </w:r>
      <w:r>
        <w:rPr>
          <w:rFonts w:ascii="Verdana" w:hAnsi="Verdana"/>
        </w:rPr>
        <w:t>1690</w:t>
      </w:r>
      <w:r w:rsidRPr="00043382">
        <w:rPr>
          <w:rFonts w:ascii="Verdana" w:hAnsi="Verdana"/>
        </w:rPr>
        <w:t xml:space="preserve">.-). </w:t>
      </w:r>
    </w:p>
    <w:p w:rsidR="00315ADE" w:rsidRDefault="00315ADE" w:rsidP="00315ADE">
      <w:pPr>
        <w:jc w:val="both"/>
        <w:rPr>
          <w:rFonts w:ascii="Verdana" w:hAnsi="Verdana"/>
        </w:rPr>
      </w:pPr>
    </w:p>
    <w:p w:rsidR="00315ADE" w:rsidRPr="00043382" w:rsidRDefault="00315ADE" w:rsidP="00315ADE">
      <w:pPr>
        <w:numPr>
          <w:ilvl w:val="0"/>
          <w:numId w:val="2"/>
        </w:numPr>
        <w:jc w:val="both"/>
        <w:rPr>
          <w:rFonts w:ascii="Verdana" w:hAnsi="Verdana"/>
        </w:rPr>
      </w:pPr>
      <w:r w:rsidRPr="003924EC">
        <w:rPr>
          <w:rFonts w:ascii="Verdana" w:hAnsi="Verdana"/>
          <w:b/>
          <w:sz w:val="32"/>
          <w:szCs w:val="32"/>
        </w:rPr>
        <w:t>Anticonceptivas Orales:</w:t>
      </w:r>
      <w:r>
        <w:rPr>
          <w:rFonts w:ascii="Verdana" w:hAnsi="Verdana"/>
        </w:rPr>
        <w:t xml:space="preserve"> </w:t>
      </w:r>
      <w:r w:rsidRPr="00043382">
        <w:rPr>
          <w:rFonts w:ascii="Verdana" w:hAnsi="Verdana"/>
        </w:rPr>
        <w:t xml:space="preserve">cobertura de los Anticonceptivos Orales hasta la suma de  </w:t>
      </w:r>
      <w:r>
        <w:rPr>
          <w:rFonts w:ascii="Verdana" w:hAnsi="Verdana"/>
        </w:rPr>
        <w:t>ciento cincuenta y dos</w:t>
      </w:r>
      <w:r w:rsidRPr="00043382">
        <w:rPr>
          <w:rFonts w:ascii="Verdana" w:hAnsi="Verdana"/>
        </w:rPr>
        <w:t xml:space="preserve">  pesos ($</w:t>
      </w:r>
      <w:r>
        <w:rPr>
          <w:rFonts w:ascii="Verdana" w:hAnsi="Verdana"/>
        </w:rPr>
        <w:t>152</w:t>
      </w:r>
      <w:r w:rsidRPr="00043382">
        <w:rPr>
          <w:rFonts w:ascii="Verdana" w:hAnsi="Verdana"/>
        </w:rPr>
        <w:t xml:space="preserve">.-). </w:t>
      </w:r>
    </w:p>
    <w:p w:rsidR="00315ADE" w:rsidRDefault="00315ADE" w:rsidP="00315ADE">
      <w:pPr>
        <w:jc w:val="both"/>
        <w:rPr>
          <w:rFonts w:ascii="Verdana" w:hAnsi="Verdana"/>
        </w:rPr>
      </w:pPr>
    </w:p>
    <w:p w:rsidR="00315ADE" w:rsidRDefault="00315ADE" w:rsidP="00315ADE">
      <w:pPr>
        <w:numPr>
          <w:ilvl w:val="0"/>
          <w:numId w:val="2"/>
        </w:numPr>
        <w:jc w:val="both"/>
        <w:rPr>
          <w:rFonts w:ascii="Verdana" w:hAnsi="Verdana"/>
        </w:rPr>
      </w:pPr>
      <w:r w:rsidRPr="003924EC">
        <w:rPr>
          <w:rFonts w:ascii="Verdana" w:hAnsi="Verdana"/>
          <w:b/>
          <w:sz w:val="32"/>
          <w:szCs w:val="32"/>
        </w:rPr>
        <w:t>Escleroterapia</w:t>
      </w:r>
      <w:r w:rsidRPr="00486DE3">
        <w:rPr>
          <w:rFonts w:ascii="Verdana" w:hAnsi="Verdana"/>
          <w:b/>
        </w:rPr>
        <w:t>:</w:t>
      </w:r>
      <w:r>
        <w:rPr>
          <w:rFonts w:ascii="Verdana" w:hAnsi="Verdana"/>
        </w:rPr>
        <w:t xml:space="preserve"> Se reconoce por reintegro la práctica de escleroterapia en trecientos veintiún pesos ($321.), continuando con el mismo esquema de diez sesiones (10) anuales. </w:t>
      </w:r>
    </w:p>
    <w:p w:rsidR="00315ADE" w:rsidRPr="00B12863" w:rsidRDefault="00315ADE" w:rsidP="00315ADE">
      <w:pPr>
        <w:jc w:val="both"/>
        <w:rPr>
          <w:rFonts w:ascii="Verdana" w:hAnsi="Verdana"/>
        </w:rPr>
      </w:pPr>
    </w:p>
    <w:p w:rsidR="00315ADE" w:rsidRDefault="00315ADE" w:rsidP="00315ADE">
      <w:pPr>
        <w:jc w:val="both"/>
        <w:rPr>
          <w:rFonts w:ascii="Verdana" w:hAnsi="Verdana"/>
        </w:rPr>
      </w:pPr>
    </w:p>
    <w:p w:rsidR="00315ADE" w:rsidRDefault="00315ADE" w:rsidP="00315ADE">
      <w:pPr>
        <w:numPr>
          <w:ilvl w:val="0"/>
          <w:numId w:val="2"/>
        </w:numPr>
        <w:jc w:val="both"/>
        <w:rPr>
          <w:rFonts w:ascii="Verdana" w:hAnsi="Verdana"/>
        </w:rPr>
      </w:pPr>
      <w:r w:rsidRPr="003924EC">
        <w:rPr>
          <w:rFonts w:ascii="Verdana" w:hAnsi="Verdana"/>
          <w:b/>
          <w:sz w:val="32"/>
          <w:szCs w:val="32"/>
        </w:rPr>
        <w:t>Psiquiatría: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Reconocimiento por reintegro de las sesiones subsiguientes a la primera de cada mes  en doscientos doce pesos ($ 212.-) cada una, continuando con el mismo esquema en una primera consulta mensual de psiquiatría de hasta setecientos cuarenta y cuatro, pesos ($ 744), de reintegro. </w:t>
      </w:r>
    </w:p>
    <w:p w:rsidR="00315ADE" w:rsidRDefault="00315ADE" w:rsidP="00315ADE">
      <w:pPr>
        <w:jc w:val="both"/>
        <w:rPr>
          <w:rFonts w:ascii="Verdana" w:hAnsi="Verdana"/>
        </w:rPr>
      </w:pPr>
    </w:p>
    <w:p w:rsidR="00315ADE" w:rsidRPr="003924EC" w:rsidRDefault="00315ADE" w:rsidP="00315ADE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32"/>
          <w:szCs w:val="32"/>
        </w:rPr>
      </w:pPr>
      <w:r w:rsidRPr="003924EC">
        <w:rPr>
          <w:rFonts w:ascii="Verdana" w:hAnsi="Verdana"/>
          <w:b/>
          <w:sz w:val="32"/>
          <w:szCs w:val="32"/>
        </w:rPr>
        <w:t>Incorporación a Vademécum</w:t>
      </w:r>
      <w:r w:rsidRPr="003924EC">
        <w:rPr>
          <w:rFonts w:ascii="Verdana" w:hAnsi="Verdana"/>
          <w:sz w:val="32"/>
          <w:szCs w:val="32"/>
        </w:rPr>
        <w:t>:</w:t>
      </w:r>
    </w:p>
    <w:p w:rsidR="00315ADE" w:rsidRPr="002474DD" w:rsidRDefault="00315ADE" w:rsidP="00315ADE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Se incorpora a nuestro </w:t>
      </w:r>
      <w:r w:rsidRPr="002474DD">
        <w:rPr>
          <w:rFonts w:ascii="Verdana" w:hAnsi="Verdana"/>
        </w:rPr>
        <w:t xml:space="preserve">vademécum </w:t>
      </w:r>
      <w:r w:rsidRPr="002474DD">
        <w:rPr>
          <w:rFonts w:ascii="Verdana" w:hAnsi="Verdana"/>
          <w:b/>
        </w:rPr>
        <w:t>DAPAGLIFLOZINA</w:t>
      </w:r>
      <w:r w:rsidRPr="002474DD">
        <w:rPr>
          <w:rFonts w:ascii="Verdana" w:hAnsi="Verdana"/>
        </w:rPr>
        <w:t xml:space="preserve"> (hipoglucemiante oral), con cobertura para plan Diabético. </w:t>
      </w:r>
    </w:p>
    <w:p w:rsidR="00315ADE" w:rsidRDefault="00315ADE" w:rsidP="00315ADE">
      <w:pPr>
        <w:ind w:left="360"/>
        <w:jc w:val="both"/>
        <w:rPr>
          <w:rFonts w:ascii="Verdana" w:hAnsi="Verdana"/>
        </w:rPr>
      </w:pPr>
    </w:p>
    <w:p w:rsidR="00315ADE" w:rsidRDefault="00315ADE" w:rsidP="00315ADE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lang w:val="es-AR"/>
        </w:rPr>
      </w:pPr>
      <w:r w:rsidRPr="003924EC">
        <w:rPr>
          <w:rFonts w:ascii="Verdana" w:hAnsi="Verdana" w:cs="Arial"/>
          <w:b/>
          <w:sz w:val="32"/>
          <w:szCs w:val="32"/>
          <w:lang w:val="es-AR"/>
        </w:rPr>
        <w:t>UNIVERSIDAD SALUDABLE - REINTEGRO POR ACTIVIDAD FISICA</w:t>
      </w:r>
      <w:r w:rsidRPr="003924EC">
        <w:rPr>
          <w:rFonts w:ascii="Verdana" w:hAnsi="Verdana" w:cs="Arial"/>
          <w:sz w:val="32"/>
          <w:szCs w:val="32"/>
          <w:lang w:val="es-AR"/>
        </w:rPr>
        <w:t xml:space="preserve">: </w:t>
      </w:r>
      <w:r>
        <w:rPr>
          <w:rFonts w:ascii="Verdana" w:hAnsi="Verdana" w:cs="Arial"/>
          <w:lang w:val="es-AR"/>
        </w:rPr>
        <w:t>a partir del mes de abril se implementa el reconocimiento</w:t>
      </w:r>
      <w:r w:rsidRPr="004F6605">
        <w:rPr>
          <w:rFonts w:ascii="Verdana" w:hAnsi="Verdana" w:cs="Arial"/>
          <w:lang w:val="es-AR"/>
        </w:rPr>
        <w:t xml:space="preserve"> por sistema de reintegro, </w:t>
      </w:r>
      <w:r>
        <w:rPr>
          <w:rFonts w:ascii="Verdana" w:hAnsi="Verdana" w:cs="Arial"/>
          <w:lang w:val="es-AR"/>
        </w:rPr>
        <w:t xml:space="preserve">a los familiares conyugues e hijos, mayores de 21 años, del afiliado titular, </w:t>
      </w:r>
      <w:r w:rsidRPr="004F6605">
        <w:rPr>
          <w:rFonts w:ascii="Verdana" w:hAnsi="Verdana" w:cs="Arial"/>
          <w:lang w:val="es-AR"/>
        </w:rPr>
        <w:t xml:space="preserve">que practiquen actividad física, en gimnasios, o entrenamiento personal, pertenecientes a las delegaciones de: </w:t>
      </w:r>
      <w:proofErr w:type="spellStart"/>
      <w:r w:rsidRPr="004F6605">
        <w:rPr>
          <w:rFonts w:ascii="Verdana" w:hAnsi="Verdana" w:cs="Arial"/>
          <w:lang w:val="es-AR"/>
        </w:rPr>
        <w:t>Gualeguaychú</w:t>
      </w:r>
      <w:proofErr w:type="spellEnd"/>
      <w:r w:rsidRPr="004F6605">
        <w:rPr>
          <w:rFonts w:ascii="Verdana" w:hAnsi="Verdana" w:cs="Arial"/>
          <w:lang w:val="es-AR"/>
        </w:rPr>
        <w:t>, Concordi</w:t>
      </w:r>
      <w:r>
        <w:rPr>
          <w:rFonts w:ascii="Verdana" w:hAnsi="Verdana" w:cs="Arial"/>
          <w:lang w:val="es-AR"/>
        </w:rPr>
        <w:t xml:space="preserve">a, Paraná, Oro Verde y </w:t>
      </w:r>
      <w:proofErr w:type="spellStart"/>
      <w:r>
        <w:rPr>
          <w:rFonts w:ascii="Verdana" w:hAnsi="Verdana" w:cs="Arial"/>
          <w:lang w:val="es-AR"/>
        </w:rPr>
        <w:t>Villaguay</w:t>
      </w:r>
      <w:proofErr w:type="spellEnd"/>
      <w:r>
        <w:rPr>
          <w:rFonts w:ascii="Verdana" w:hAnsi="Verdana" w:cs="Arial"/>
          <w:lang w:val="es-AR"/>
        </w:rPr>
        <w:t>.</w:t>
      </w:r>
      <w:r w:rsidRPr="004F6605">
        <w:rPr>
          <w:rFonts w:ascii="Verdana" w:hAnsi="Verdana" w:cs="Arial"/>
          <w:lang w:val="es-AR"/>
        </w:rPr>
        <w:t xml:space="preserve"> </w:t>
      </w:r>
      <w:r>
        <w:rPr>
          <w:rFonts w:ascii="Verdana" w:hAnsi="Verdana" w:cs="Arial"/>
          <w:lang w:val="es-AR"/>
        </w:rPr>
        <w:t>El valor a reintegrar será el mismo que para el afiliado titular,</w:t>
      </w:r>
      <w:r w:rsidRPr="004F6605">
        <w:rPr>
          <w:rFonts w:ascii="Verdana" w:hAnsi="Verdana" w:cs="Arial"/>
          <w:lang w:val="es-AR"/>
        </w:rPr>
        <w:t xml:space="preserve"> contra presentación de factura</w:t>
      </w:r>
      <w:r>
        <w:rPr>
          <w:rFonts w:ascii="Verdana" w:hAnsi="Verdana" w:cs="Arial"/>
          <w:lang w:val="es-AR"/>
        </w:rPr>
        <w:t>.</w:t>
      </w:r>
    </w:p>
    <w:p w:rsidR="00315ADE" w:rsidRPr="002474DD" w:rsidRDefault="00315ADE" w:rsidP="00315ADE">
      <w:pPr>
        <w:pStyle w:val="Prrafodelista"/>
        <w:rPr>
          <w:rFonts w:ascii="Verdana" w:hAnsi="Verdana" w:cs="Arial"/>
          <w:lang w:val="es-AR"/>
        </w:rPr>
      </w:pPr>
    </w:p>
    <w:p w:rsidR="00315ADE" w:rsidRDefault="00315ADE" w:rsidP="00315ADE">
      <w:pPr>
        <w:rPr>
          <w:rFonts w:ascii="Verdana" w:hAnsi="Verdana" w:cs="Arial"/>
          <w:lang w:val="es-AR"/>
        </w:rPr>
      </w:pPr>
    </w:p>
    <w:p w:rsidR="00315ADE" w:rsidRDefault="00315ADE" w:rsidP="00315ADE">
      <w:pPr>
        <w:numPr>
          <w:ilvl w:val="0"/>
          <w:numId w:val="3"/>
        </w:numPr>
        <w:jc w:val="both"/>
        <w:rPr>
          <w:rFonts w:ascii="Verdana" w:hAnsi="Verdana" w:cs="Arial"/>
          <w:lang w:val="es-AR"/>
        </w:rPr>
      </w:pPr>
      <w:r w:rsidRPr="003924EC">
        <w:rPr>
          <w:rFonts w:ascii="Verdana" w:hAnsi="Verdana" w:cs="Arial"/>
          <w:b/>
          <w:sz w:val="32"/>
          <w:szCs w:val="32"/>
          <w:u w:val="single"/>
          <w:lang w:val="es-AR"/>
        </w:rPr>
        <w:t>CELIACOS:</w:t>
      </w:r>
      <w:r>
        <w:rPr>
          <w:rFonts w:ascii="Verdana" w:hAnsi="Verdana" w:cs="Arial"/>
          <w:lang w:val="es-AR"/>
        </w:rPr>
        <w:t xml:space="preserve"> </w:t>
      </w:r>
      <w:r w:rsidRPr="00660537">
        <w:rPr>
          <w:rFonts w:ascii="Verdana" w:hAnsi="Verdana" w:cs="Arial"/>
          <w:lang w:val="es-AR"/>
        </w:rPr>
        <w:t>Establecer</w:t>
      </w:r>
      <w:r>
        <w:rPr>
          <w:rFonts w:ascii="Verdana" w:hAnsi="Verdana" w:cs="Arial"/>
          <w:lang w:val="es-AR"/>
        </w:rPr>
        <w:t xml:space="preserve"> para los afiliados </w:t>
      </w:r>
      <w:r w:rsidRPr="00660537">
        <w:rPr>
          <w:rFonts w:ascii="Verdana" w:hAnsi="Verdana" w:cs="Arial"/>
          <w:lang w:val="es-AR"/>
        </w:rPr>
        <w:t xml:space="preserve">con enfermedad celíaca </w:t>
      </w:r>
      <w:r>
        <w:rPr>
          <w:rFonts w:ascii="Verdana" w:hAnsi="Verdana"/>
        </w:rPr>
        <w:t xml:space="preserve">reconocimiento por reintegro </w:t>
      </w:r>
      <w:r>
        <w:rPr>
          <w:rFonts w:ascii="Verdana" w:hAnsi="Verdana" w:cs="Arial"/>
          <w:lang w:val="es-AR"/>
        </w:rPr>
        <w:t>de hasta setecientos cuarenta y cuatro pesos ($ 744.-) mensuales, para la compra de productos específicos: harinas, pre-mezcla, y productos elaborados con harina y pre-mezcla libre de gluten,  para pacientes que sufren de esta enfermedad.</w:t>
      </w:r>
    </w:p>
    <w:p w:rsidR="00315ADE" w:rsidRDefault="00315ADE" w:rsidP="00315ADE">
      <w:pPr>
        <w:ind w:left="708"/>
        <w:jc w:val="both"/>
        <w:rPr>
          <w:rFonts w:ascii="Verdana" w:hAnsi="Verdana" w:cs="Arial"/>
          <w:lang w:val="es-AR"/>
        </w:rPr>
      </w:pPr>
      <w:r>
        <w:rPr>
          <w:rFonts w:ascii="Verdana" w:hAnsi="Verdana" w:cs="Arial"/>
          <w:lang w:val="es-AR"/>
        </w:rPr>
        <w:t>Se deberá presentar una (1) sola factura o ticket mensual donde se especifique el o los alimentos para celiacos facturados.</w:t>
      </w:r>
    </w:p>
    <w:p w:rsidR="00315ADE" w:rsidRPr="0053656F" w:rsidRDefault="00315ADE" w:rsidP="00315ADE">
      <w:pPr>
        <w:ind w:firstLine="708"/>
        <w:jc w:val="both"/>
        <w:rPr>
          <w:rFonts w:ascii="Verdana" w:hAnsi="Verdana"/>
          <w:lang w:val="es-AR"/>
        </w:rPr>
      </w:pPr>
    </w:p>
    <w:p w:rsidR="00315ADE" w:rsidRDefault="00315ADE" w:rsidP="003924EC">
      <w:pPr>
        <w:jc w:val="both"/>
        <w:rPr>
          <w:rFonts w:ascii="Verdana" w:hAnsi="Verdana"/>
          <w:b/>
          <w:sz w:val="22"/>
          <w:szCs w:val="22"/>
        </w:rPr>
      </w:pPr>
    </w:p>
    <w:p w:rsidR="00315ADE" w:rsidRPr="003924EC" w:rsidRDefault="00315ADE" w:rsidP="00315ADE">
      <w:pPr>
        <w:pStyle w:val="Prrafodelista"/>
        <w:jc w:val="both"/>
        <w:rPr>
          <w:rFonts w:ascii="Verdana" w:hAnsi="Verdana" w:cs="Arial"/>
          <w:sz w:val="32"/>
          <w:szCs w:val="32"/>
        </w:rPr>
      </w:pPr>
    </w:p>
    <w:p w:rsidR="00315ADE" w:rsidRPr="00F764A4" w:rsidRDefault="00315ADE" w:rsidP="00315ADE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</w:rPr>
      </w:pPr>
      <w:r w:rsidRPr="003924EC">
        <w:rPr>
          <w:rFonts w:ascii="Verdana" w:hAnsi="Verdana"/>
          <w:b/>
          <w:sz w:val="32"/>
          <w:szCs w:val="32"/>
          <w:u w:val="single"/>
        </w:rPr>
        <w:t>Alojamiento para afiliados cuando la atención es fuera de su localidad de residencia:</w:t>
      </w:r>
      <w:r w:rsidRPr="00F764A4">
        <w:rPr>
          <w:rFonts w:ascii="Verdana" w:hAnsi="Verdana"/>
          <w:b/>
        </w:rPr>
        <w:t xml:space="preserve"> </w:t>
      </w:r>
      <w:r w:rsidRPr="00F764A4">
        <w:rPr>
          <w:rFonts w:ascii="Verdana" w:hAnsi="Verdana"/>
        </w:rPr>
        <w:t xml:space="preserve">Se reconocerá por sistema de reintegro  la suma de hasta pesos </w:t>
      </w:r>
      <w:r>
        <w:rPr>
          <w:rFonts w:ascii="Verdana" w:hAnsi="Verdana"/>
        </w:rPr>
        <w:t>quinientos veinte</w:t>
      </w:r>
      <w:r w:rsidRPr="00F764A4">
        <w:rPr>
          <w:rFonts w:ascii="Verdana" w:hAnsi="Verdana"/>
        </w:rPr>
        <w:t xml:space="preserve"> ($520.-), por día, </w:t>
      </w:r>
      <w:r w:rsidRPr="00F764A4">
        <w:rPr>
          <w:rFonts w:ascii="Verdana" w:hAnsi="Verdana" w:cs="Arial"/>
        </w:rPr>
        <w:t>a todos aquellos afiliados que</w:t>
      </w:r>
      <w:r w:rsidRPr="00F764A4">
        <w:rPr>
          <w:rFonts w:cs="Arial"/>
        </w:rPr>
        <w:t xml:space="preserve"> </w:t>
      </w:r>
      <w:r w:rsidRPr="00F764A4">
        <w:rPr>
          <w:rFonts w:ascii="Verdana" w:hAnsi="Verdana" w:cs="Arial"/>
        </w:rPr>
        <w:t>por estudios médicos,</w:t>
      </w:r>
      <w:r w:rsidRPr="00F764A4">
        <w:rPr>
          <w:rFonts w:cs="Arial"/>
        </w:rPr>
        <w:t xml:space="preserve"> </w:t>
      </w:r>
      <w:r w:rsidRPr="00F764A4">
        <w:rPr>
          <w:rFonts w:ascii="Verdana" w:hAnsi="Verdana" w:cs="Arial"/>
        </w:rPr>
        <w:t>deban permanecer más de un día fuera de su localidad de residencia. En caso que el afiliado deba permanecer internado, se reconocerá la mi</w:t>
      </w:r>
      <w:r>
        <w:rPr>
          <w:rFonts w:ascii="Verdana" w:hAnsi="Verdana" w:cs="Arial"/>
        </w:rPr>
        <w:t xml:space="preserve">sma suma para la persona que va </w:t>
      </w:r>
      <w:r w:rsidRPr="00F764A4">
        <w:rPr>
          <w:rFonts w:ascii="Verdana" w:hAnsi="Verdana" w:cs="Arial"/>
        </w:rPr>
        <w:t>de acompañante. Debiendo presentar la documentación pertinente. Implementación: 01-05-2016.</w:t>
      </w:r>
    </w:p>
    <w:p w:rsidR="00315ADE" w:rsidRPr="00F764A4" w:rsidRDefault="00315ADE" w:rsidP="00315ADE">
      <w:pPr>
        <w:pStyle w:val="Prrafodelista"/>
        <w:spacing w:line="276" w:lineRule="auto"/>
        <w:jc w:val="both"/>
        <w:rPr>
          <w:rFonts w:ascii="Verdana" w:hAnsi="Verdana" w:cs="Arial"/>
        </w:rPr>
      </w:pPr>
    </w:p>
    <w:p w:rsidR="00315ADE" w:rsidRDefault="00315ADE" w:rsidP="00315ADE">
      <w:pPr>
        <w:ind w:left="708"/>
        <w:jc w:val="both"/>
        <w:rPr>
          <w:rFonts w:ascii="Verdana" w:hAnsi="Verdana" w:cs="Arial"/>
          <w:b/>
          <w:u w:val="single"/>
        </w:rPr>
      </w:pPr>
    </w:p>
    <w:p w:rsidR="00315ADE" w:rsidRPr="00BC16E5" w:rsidRDefault="00315ADE" w:rsidP="00315ADE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</w:rPr>
      </w:pPr>
      <w:r w:rsidRPr="003924EC">
        <w:rPr>
          <w:rFonts w:ascii="Verdana" w:hAnsi="Verdana" w:cs="Arial"/>
          <w:b/>
          <w:sz w:val="32"/>
          <w:szCs w:val="32"/>
          <w:u w:val="single"/>
        </w:rPr>
        <w:t>Cobertura para R.P.G.</w:t>
      </w:r>
      <w:r w:rsidRPr="003924EC">
        <w:rPr>
          <w:rFonts w:ascii="Verdana" w:hAnsi="Verdana" w:cs="Arial"/>
          <w:sz w:val="32"/>
          <w:szCs w:val="32"/>
        </w:rPr>
        <w:t>:</w:t>
      </w:r>
      <w:r w:rsidRPr="00BC16E5">
        <w:rPr>
          <w:rFonts w:ascii="Verdana" w:hAnsi="Verdana" w:cs="Arial"/>
        </w:rPr>
        <w:t xml:space="preserve"> se reconocerá para la práctica de Reeducación Global Postural, mediante la modalidad de reintegro </w:t>
      </w:r>
      <w:r>
        <w:rPr>
          <w:rFonts w:ascii="Verdana" w:hAnsi="Verdana" w:cs="Arial"/>
        </w:rPr>
        <w:t xml:space="preserve">el 80% de </w:t>
      </w:r>
      <w:r w:rsidRPr="00BC16E5">
        <w:rPr>
          <w:rFonts w:ascii="Verdana" w:hAnsi="Verdana" w:cs="Arial"/>
        </w:rPr>
        <w:t xml:space="preserve">la </w:t>
      </w:r>
      <w:r>
        <w:rPr>
          <w:rFonts w:ascii="Verdana" w:hAnsi="Verdana" w:cs="Arial"/>
        </w:rPr>
        <w:t>factura con un tope de</w:t>
      </w:r>
      <w:r w:rsidRPr="00BC16E5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hasta</w:t>
      </w:r>
      <w:r w:rsidRPr="00BC16E5">
        <w:rPr>
          <w:rFonts w:ascii="Verdana" w:hAnsi="Verdana" w:cs="Arial"/>
        </w:rPr>
        <w:t xml:space="preserve"> pesos </w:t>
      </w:r>
      <w:r>
        <w:rPr>
          <w:rFonts w:ascii="Verdana" w:hAnsi="Verdana" w:cs="Arial"/>
        </w:rPr>
        <w:t>dos</w:t>
      </w:r>
      <w:r w:rsidRPr="00BC16E5">
        <w:rPr>
          <w:rFonts w:ascii="Verdana" w:hAnsi="Verdana" w:cs="Arial"/>
        </w:rPr>
        <w:t>cientos ($</w:t>
      </w:r>
      <w:r>
        <w:rPr>
          <w:rFonts w:ascii="Verdana" w:hAnsi="Verdana" w:cs="Arial"/>
        </w:rPr>
        <w:t>2</w:t>
      </w:r>
      <w:r w:rsidRPr="00BC16E5">
        <w:rPr>
          <w:rFonts w:ascii="Verdana" w:hAnsi="Verdana" w:cs="Arial"/>
        </w:rPr>
        <w:t xml:space="preserve">00), con un esquema de diez sesiones anuales. </w:t>
      </w:r>
    </w:p>
    <w:p w:rsidR="00315ADE" w:rsidRPr="00F764A4" w:rsidRDefault="00315ADE" w:rsidP="00315ADE">
      <w:pPr>
        <w:pStyle w:val="Prrafodelista"/>
        <w:jc w:val="both"/>
        <w:rPr>
          <w:rFonts w:ascii="Verdana" w:hAnsi="Verdana"/>
        </w:rPr>
      </w:pPr>
    </w:p>
    <w:p w:rsidR="00315ADE" w:rsidRPr="00B12E1E" w:rsidRDefault="00315ADE" w:rsidP="00315ADE">
      <w:pPr>
        <w:pStyle w:val="Prrafodelista"/>
        <w:jc w:val="both"/>
        <w:rPr>
          <w:rFonts w:ascii="Verdana" w:hAnsi="Verdana"/>
        </w:rPr>
      </w:pPr>
    </w:p>
    <w:p w:rsidR="00315ADE" w:rsidRPr="00B12E1E" w:rsidRDefault="00315ADE" w:rsidP="00315ADE">
      <w:pPr>
        <w:pStyle w:val="Prrafodelista"/>
        <w:rPr>
          <w:rFonts w:ascii="Verdana" w:hAnsi="Verdana"/>
          <w:b/>
          <w:u w:val="single"/>
        </w:rPr>
      </w:pPr>
    </w:p>
    <w:p w:rsidR="00315ADE" w:rsidRPr="00BC16E5" w:rsidRDefault="00315ADE" w:rsidP="00315ADE">
      <w:pPr>
        <w:pStyle w:val="Prrafodelista"/>
        <w:numPr>
          <w:ilvl w:val="0"/>
          <w:numId w:val="4"/>
        </w:numPr>
        <w:jc w:val="both"/>
        <w:rPr>
          <w:rFonts w:ascii="Verdana" w:hAnsi="Verdana"/>
        </w:rPr>
      </w:pPr>
      <w:r w:rsidRPr="003924EC">
        <w:rPr>
          <w:rFonts w:ascii="Verdana" w:hAnsi="Verdana"/>
          <w:b/>
          <w:sz w:val="32"/>
          <w:szCs w:val="32"/>
          <w:u w:val="single"/>
        </w:rPr>
        <w:t>Incorporación a Vademécum</w:t>
      </w:r>
      <w:r w:rsidRPr="002474DD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Pr="00BC16E5">
        <w:rPr>
          <w:rFonts w:ascii="Verdana" w:hAnsi="Verdana"/>
        </w:rPr>
        <w:t xml:space="preserve">Se incorpora a nuestro vademécum </w:t>
      </w:r>
      <w:r w:rsidRPr="00BC16E5">
        <w:rPr>
          <w:rFonts w:ascii="Verdana" w:hAnsi="Verdana"/>
          <w:b/>
        </w:rPr>
        <w:t>TENEGLIPTINA</w:t>
      </w:r>
      <w:r w:rsidRPr="00BC16E5">
        <w:rPr>
          <w:rFonts w:ascii="Verdana" w:hAnsi="Verdana"/>
        </w:rPr>
        <w:t xml:space="preserve"> (hipoglucemiante oral), con cobertura para plan Diabético. </w:t>
      </w:r>
    </w:p>
    <w:p w:rsidR="00315ADE" w:rsidRDefault="00315ADE" w:rsidP="00315ADE">
      <w:pPr>
        <w:pStyle w:val="Prrafodelista"/>
        <w:jc w:val="both"/>
        <w:rPr>
          <w:rFonts w:ascii="Verdana" w:hAnsi="Verdana" w:cs="Arial"/>
        </w:rPr>
      </w:pPr>
    </w:p>
    <w:p w:rsidR="00315ADE" w:rsidRPr="00B84796" w:rsidRDefault="00315ADE" w:rsidP="00315ADE">
      <w:pPr>
        <w:pStyle w:val="Prrafodelista"/>
        <w:spacing w:line="360" w:lineRule="auto"/>
        <w:jc w:val="both"/>
        <w:rPr>
          <w:rFonts w:ascii="Verdana" w:hAnsi="Verdana" w:cs="Arial"/>
        </w:rPr>
      </w:pPr>
    </w:p>
    <w:p w:rsidR="00315ADE" w:rsidRDefault="00315ADE" w:rsidP="00315ADE">
      <w:pPr>
        <w:ind w:firstLine="357"/>
        <w:jc w:val="both"/>
        <w:rPr>
          <w:rFonts w:ascii="Verdana" w:hAnsi="Verdana"/>
        </w:rPr>
      </w:pPr>
    </w:p>
    <w:p w:rsidR="00602AD0" w:rsidRPr="00FE4C4D" w:rsidRDefault="004C49FF" w:rsidP="004C49FF">
      <w:pPr>
        <w:jc w:val="center"/>
        <w:rPr>
          <w:b/>
          <w:sz w:val="32"/>
          <w:szCs w:val="32"/>
        </w:rPr>
      </w:pPr>
      <w:r w:rsidRPr="00FE4C4D">
        <w:rPr>
          <w:b/>
          <w:sz w:val="32"/>
          <w:szCs w:val="32"/>
        </w:rPr>
        <w:t>CONSEJEROS DIRECTIVOS OSUNER NO DOCENTES</w:t>
      </w:r>
    </w:p>
    <w:p w:rsidR="004C49FF" w:rsidRPr="00FE4C4D" w:rsidRDefault="004C49FF" w:rsidP="004C49FF">
      <w:pPr>
        <w:jc w:val="center"/>
        <w:rPr>
          <w:b/>
          <w:sz w:val="32"/>
          <w:szCs w:val="32"/>
        </w:rPr>
      </w:pPr>
    </w:p>
    <w:p w:rsidR="003924EC" w:rsidRPr="00FE4C4D" w:rsidRDefault="00FE4C4D" w:rsidP="004C49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LOKER GERMAN    </w:t>
      </w:r>
      <w:r w:rsidR="003924EC" w:rsidRPr="00FE4C4D">
        <w:rPr>
          <w:b/>
          <w:sz w:val="32"/>
          <w:szCs w:val="32"/>
        </w:rPr>
        <w:t xml:space="preserve">  APESECHE ESTELA</w:t>
      </w:r>
    </w:p>
    <w:sectPr w:rsidR="003924EC" w:rsidRPr="00FE4C4D" w:rsidSect="00D0744B">
      <w:pgSz w:w="12240" w:h="15840"/>
      <w:pgMar w:top="1701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76025"/>
    <w:multiLevelType w:val="hybridMultilevel"/>
    <w:tmpl w:val="4DC86E8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F4CAC"/>
    <w:multiLevelType w:val="hybridMultilevel"/>
    <w:tmpl w:val="492EBC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A569AC"/>
    <w:multiLevelType w:val="hybridMultilevel"/>
    <w:tmpl w:val="4F40C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C1181"/>
    <w:multiLevelType w:val="hybridMultilevel"/>
    <w:tmpl w:val="F202F30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DE"/>
    <w:rsid w:val="00315ADE"/>
    <w:rsid w:val="003924EC"/>
    <w:rsid w:val="004C49FF"/>
    <w:rsid w:val="004D1BC3"/>
    <w:rsid w:val="00584EBD"/>
    <w:rsid w:val="00602AD0"/>
    <w:rsid w:val="00A24D7A"/>
    <w:rsid w:val="00AE638E"/>
    <w:rsid w:val="00B637EB"/>
    <w:rsid w:val="00B80782"/>
    <w:rsid w:val="00D0744B"/>
    <w:rsid w:val="00DA65C1"/>
    <w:rsid w:val="00DF68D0"/>
    <w:rsid w:val="00FE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DE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84EBD"/>
    <w:pPr>
      <w:keepNext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4EBD"/>
    <w:rPr>
      <w:rFonts w:ascii="Courier New" w:hAnsi="Courier New"/>
      <w:sz w:val="24"/>
      <w:u w:val="single"/>
      <w:lang w:val="es-AR" w:eastAsia="es-ES_tradnl"/>
    </w:rPr>
  </w:style>
  <w:style w:type="paragraph" w:styleId="Ttulo">
    <w:name w:val="Title"/>
    <w:basedOn w:val="Normal"/>
    <w:next w:val="Normal"/>
    <w:link w:val="TtuloCar"/>
    <w:qFormat/>
    <w:rsid w:val="00584EB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584EBD"/>
    <w:rPr>
      <w:rFonts w:asciiTheme="majorHAnsi" w:eastAsiaTheme="majorEastAsia" w:hAnsiTheme="majorHAnsi" w:cstheme="majorBidi"/>
      <w:b/>
      <w:bCs/>
      <w:kern w:val="28"/>
      <w:sz w:val="32"/>
      <w:szCs w:val="32"/>
      <w:lang w:val="es-AR" w:eastAsia="es-ES_tradnl"/>
    </w:rPr>
  </w:style>
  <w:style w:type="paragraph" w:styleId="Subttulo">
    <w:name w:val="Subtitle"/>
    <w:basedOn w:val="Normal"/>
    <w:next w:val="Normal"/>
    <w:link w:val="SubttuloCar"/>
    <w:qFormat/>
    <w:rsid w:val="00584EB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584EBD"/>
    <w:rPr>
      <w:rFonts w:asciiTheme="majorHAnsi" w:eastAsiaTheme="majorEastAsia" w:hAnsiTheme="majorHAnsi" w:cstheme="majorBidi"/>
      <w:sz w:val="24"/>
      <w:szCs w:val="24"/>
      <w:lang w:val="es-AR" w:eastAsia="es-ES_tradnl"/>
    </w:rPr>
  </w:style>
  <w:style w:type="character" w:styleId="Textoennegrita">
    <w:name w:val="Strong"/>
    <w:basedOn w:val="Fuentedeprrafopredeter"/>
    <w:qFormat/>
    <w:rsid w:val="00584EBD"/>
    <w:rPr>
      <w:b/>
      <w:bCs/>
    </w:rPr>
  </w:style>
  <w:style w:type="character" w:styleId="nfasis">
    <w:name w:val="Emphasis"/>
    <w:basedOn w:val="Fuentedeprrafopredeter"/>
    <w:qFormat/>
    <w:rsid w:val="00584EBD"/>
    <w:rPr>
      <w:i/>
      <w:iCs/>
    </w:rPr>
  </w:style>
  <w:style w:type="paragraph" w:styleId="Prrafodelista">
    <w:name w:val="List Paragraph"/>
    <w:basedOn w:val="Normal"/>
    <w:uiPriority w:val="34"/>
    <w:qFormat/>
    <w:rsid w:val="00315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DE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84EBD"/>
    <w:pPr>
      <w:keepNext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4EBD"/>
    <w:rPr>
      <w:rFonts w:ascii="Courier New" w:hAnsi="Courier New"/>
      <w:sz w:val="24"/>
      <w:u w:val="single"/>
      <w:lang w:val="es-AR" w:eastAsia="es-ES_tradnl"/>
    </w:rPr>
  </w:style>
  <w:style w:type="paragraph" w:styleId="Ttulo">
    <w:name w:val="Title"/>
    <w:basedOn w:val="Normal"/>
    <w:next w:val="Normal"/>
    <w:link w:val="TtuloCar"/>
    <w:qFormat/>
    <w:rsid w:val="00584EB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584EBD"/>
    <w:rPr>
      <w:rFonts w:asciiTheme="majorHAnsi" w:eastAsiaTheme="majorEastAsia" w:hAnsiTheme="majorHAnsi" w:cstheme="majorBidi"/>
      <w:b/>
      <w:bCs/>
      <w:kern w:val="28"/>
      <w:sz w:val="32"/>
      <w:szCs w:val="32"/>
      <w:lang w:val="es-AR" w:eastAsia="es-ES_tradnl"/>
    </w:rPr>
  </w:style>
  <w:style w:type="paragraph" w:styleId="Subttulo">
    <w:name w:val="Subtitle"/>
    <w:basedOn w:val="Normal"/>
    <w:next w:val="Normal"/>
    <w:link w:val="SubttuloCar"/>
    <w:qFormat/>
    <w:rsid w:val="00584EB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584EBD"/>
    <w:rPr>
      <w:rFonts w:asciiTheme="majorHAnsi" w:eastAsiaTheme="majorEastAsia" w:hAnsiTheme="majorHAnsi" w:cstheme="majorBidi"/>
      <w:sz w:val="24"/>
      <w:szCs w:val="24"/>
      <w:lang w:val="es-AR" w:eastAsia="es-ES_tradnl"/>
    </w:rPr>
  </w:style>
  <w:style w:type="character" w:styleId="Textoennegrita">
    <w:name w:val="Strong"/>
    <w:basedOn w:val="Fuentedeprrafopredeter"/>
    <w:qFormat/>
    <w:rsid w:val="00584EBD"/>
    <w:rPr>
      <w:b/>
      <w:bCs/>
    </w:rPr>
  </w:style>
  <w:style w:type="character" w:styleId="nfasis">
    <w:name w:val="Emphasis"/>
    <w:basedOn w:val="Fuentedeprrafopredeter"/>
    <w:qFormat/>
    <w:rsid w:val="00584EBD"/>
    <w:rPr>
      <w:i/>
      <w:iCs/>
    </w:rPr>
  </w:style>
  <w:style w:type="paragraph" w:styleId="Prrafodelista">
    <w:name w:val="List Paragraph"/>
    <w:basedOn w:val="Normal"/>
    <w:uiPriority w:val="34"/>
    <w:qFormat/>
    <w:rsid w:val="0031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apesechee</dc:creator>
  <cp:lastModifiedBy>xxxxxx</cp:lastModifiedBy>
  <cp:revision>2</cp:revision>
  <dcterms:created xsi:type="dcterms:W3CDTF">2016-06-02T21:53:00Z</dcterms:created>
  <dcterms:modified xsi:type="dcterms:W3CDTF">2016-06-02T21:53:00Z</dcterms:modified>
</cp:coreProperties>
</file>